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529FE" w14:textId="77777777" w:rsidR="00C77558" w:rsidRDefault="006008DB">
      <w:pPr>
        <w:pStyle w:val="Ttulo1"/>
        <w:spacing w:before="200" w:after="120"/>
      </w:pPr>
      <w:r>
        <w:rPr>
          <w:sz w:val="44"/>
          <w:szCs w:val="44"/>
        </w:rPr>
        <w:t>La Maldición del Guerrero Inmóvil</w:t>
      </w:r>
    </w:p>
    <w:p w14:paraId="0F08C321" w14:textId="42AA849C" w:rsidR="00C77558" w:rsidRDefault="006008DB">
      <w:pPr>
        <w:spacing w:after="240"/>
        <w:rPr>
          <w:i/>
          <w:iCs/>
          <w:color w:val="555555"/>
          <w:sz w:val="24"/>
          <w:szCs w:val="24"/>
        </w:rPr>
      </w:pPr>
      <w:r>
        <w:rPr>
          <w:i/>
          <w:iCs/>
          <w:color w:val="555555"/>
          <w:sz w:val="24"/>
          <w:szCs w:val="24"/>
        </w:rPr>
        <w:t xml:space="preserve">Parálisis Periódica </w:t>
      </w:r>
      <w:proofErr w:type="spellStart"/>
      <w:r>
        <w:rPr>
          <w:i/>
          <w:iCs/>
          <w:color w:val="555555"/>
          <w:sz w:val="24"/>
          <w:szCs w:val="24"/>
        </w:rPr>
        <w:t>Hipocalémica</w:t>
      </w:r>
      <w:proofErr w:type="spellEnd"/>
      <w:r>
        <w:rPr>
          <w:i/>
          <w:iCs/>
          <w:color w:val="555555"/>
          <w:sz w:val="24"/>
          <w:szCs w:val="24"/>
        </w:rPr>
        <w:t xml:space="preserve"> Familiar en Urgencias: diagnóstico, trampas clínicas y decisiones críticas</w:t>
      </w:r>
    </w:p>
    <w:p w14:paraId="22AE3EEC" w14:textId="18AB53BD" w:rsidR="006008DB" w:rsidRDefault="006008DB">
      <w:pPr>
        <w:spacing w:after="240"/>
      </w:pPr>
      <w:r>
        <w:rPr>
          <w:i/>
          <w:iCs/>
          <w:color w:val="555555"/>
          <w:sz w:val="24"/>
          <w:szCs w:val="24"/>
        </w:rPr>
        <w:t xml:space="preserve">Autor Dr. Felipe Salazar </w:t>
      </w:r>
    </w:p>
    <w:p w14:paraId="5E3271E6" w14:textId="77777777" w:rsidR="00C77558" w:rsidRDefault="006008DB">
      <w:pPr>
        <w:spacing w:after="60"/>
      </w:pPr>
      <w:r>
        <w:rPr>
          <w:rFonts w:ascii="Arial" w:eastAsia="Arial" w:hAnsi="Arial" w:cs="Arial"/>
          <w:color w:val="888888"/>
          <w:sz w:val="17"/>
          <w:szCs w:val="17"/>
        </w:rPr>
        <w:t xml:space="preserve">Codex </w:t>
      </w:r>
      <w:proofErr w:type="spellStart"/>
      <w:proofErr w:type="gramStart"/>
      <w:r>
        <w:rPr>
          <w:rFonts w:ascii="Arial" w:eastAsia="Arial" w:hAnsi="Arial" w:cs="Arial"/>
          <w:color w:val="888888"/>
          <w:sz w:val="17"/>
          <w:szCs w:val="17"/>
        </w:rPr>
        <w:t>Emergentis</w:t>
      </w:r>
      <w:proofErr w:type="spellEnd"/>
      <w:r>
        <w:rPr>
          <w:rFonts w:ascii="Arial" w:eastAsia="Arial" w:hAnsi="Arial" w:cs="Arial"/>
          <w:color w:val="888888"/>
          <w:sz w:val="17"/>
          <w:szCs w:val="17"/>
        </w:rPr>
        <w:t xml:space="preserve">  ◆</w:t>
      </w:r>
      <w:proofErr w:type="gramEnd"/>
      <w:r>
        <w:rPr>
          <w:rFonts w:ascii="Arial" w:eastAsia="Arial" w:hAnsi="Arial" w:cs="Arial"/>
          <w:color w:val="888888"/>
          <w:sz w:val="17"/>
          <w:szCs w:val="17"/>
        </w:rPr>
        <w:t xml:space="preserve">  </w:t>
      </w:r>
      <w:proofErr w:type="spellStart"/>
      <w:r>
        <w:rPr>
          <w:rFonts w:ascii="Arial" w:eastAsia="Arial" w:hAnsi="Arial" w:cs="Arial"/>
          <w:color w:val="888888"/>
          <w:sz w:val="17"/>
          <w:szCs w:val="17"/>
        </w:rPr>
        <w:t>FOAMed</w:t>
      </w:r>
      <w:proofErr w:type="spellEnd"/>
      <w:r>
        <w:rPr>
          <w:rFonts w:ascii="Arial" w:eastAsia="Arial" w:hAnsi="Arial" w:cs="Arial"/>
          <w:color w:val="888888"/>
          <w:sz w:val="17"/>
          <w:szCs w:val="17"/>
        </w:rPr>
        <w:t xml:space="preserve">  ◆  Medicina de Emergencias  ◆  Nivel: Élite  ◆  Lectura: 8 min</w:t>
      </w:r>
    </w:p>
    <w:p w14:paraId="50486523" w14:textId="77777777" w:rsidR="00C77558" w:rsidRDefault="00C77558">
      <w:pPr>
        <w:pBdr>
          <w:bottom w:val="single" w:sz="6" w:space="1" w:color="8B6914"/>
        </w:pBdr>
        <w:spacing w:before="120" w:after="120"/>
      </w:pPr>
    </w:p>
    <w:p w14:paraId="045CCEBA" w14:textId="77777777" w:rsidR="00C77558" w:rsidRDefault="00C77558">
      <w:pPr>
        <w:spacing w:before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C77558" w14:paraId="0E9C822E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single" w:sz="20" w:space="0" w:color="8B6914"/>
              <w:bottom w:val="none" w:sz="0" w:space="0" w:color="FFFFFF"/>
              <w:right w:val="none" w:sz="0" w:space="0" w:color="FFFFFF"/>
            </w:tcBorders>
            <w:shd w:val="clear" w:color="auto" w:fill="FBF6E8"/>
            <w:tcMar>
              <w:top w:w="160" w:type="dxa"/>
              <w:left w:w="240" w:type="dxa"/>
              <w:bottom w:w="200" w:type="dxa"/>
              <w:right w:w="200" w:type="dxa"/>
            </w:tcMar>
          </w:tcPr>
          <w:p w14:paraId="77737555" w14:textId="77777777" w:rsidR="00C77558" w:rsidRDefault="006008DB">
            <w:pPr>
              <w:spacing w:after="160"/>
            </w:pPr>
            <w:proofErr w:type="gramStart"/>
            <w:r>
              <w:rPr>
                <w:rFonts w:ascii="Arial" w:eastAsia="Arial" w:hAnsi="Arial" w:cs="Arial"/>
                <w:b/>
                <w:bCs/>
                <w:color w:val="8B6914"/>
                <w:sz w:val="17"/>
                <w:szCs w:val="17"/>
              </w:rPr>
              <w:t>⚔</w:t>
            </w:r>
            <w:r>
              <w:rPr>
                <w:rFonts w:ascii="Arial" w:eastAsia="Arial" w:hAnsi="Arial" w:cs="Arial"/>
                <w:b/>
                <w:bCs/>
                <w:color w:val="8B6914"/>
                <w:sz w:val="17"/>
                <w:szCs w:val="17"/>
              </w:rPr>
              <w:t xml:space="preserve">  CRÓNICA</w:t>
            </w:r>
            <w:proofErr w:type="gramEnd"/>
            <w:r>
              <w:rPr>
                <w:rFonts w:ascii="Arial" w:eastAsia="Arial" w:hAnsi="Arial" w:cs="Arial"/>
                <w:b/>
                <w:bCs/>
                <w:color w:val="8B6914"/>
                <w:sz w:val="17"/>
                <w:szCs w:val="17"/>
              </w:rPr>
              <w:t xml:space="preserve"> DEL SANTUARIO · CASO CLÍNICO</w:t>
            </w:r>
          </w:p>
          <w:p w14:paraId="23692DD3" w14:textId="77777777" w:rsidR="00C77558" w:rsidRDefault="006008DB">
            <w:pPr>
              <w:spacing w:after="120"/>
              <w:jc w:val="both"/>
            </w:pPr>
            <w:r>
              <w:rPr>
                <w:i/>
                <w:iCs/>
                <w:color w:val="7A5C20"/>
                <w:sz w:val="21"/>
                <w:szCs w:val="21"/>
              </w:rPr>
              <w:t>El guerrero ll</w:t>
            </w:r>
            <w:r>
              <w:rPr>
                <w:i/>
                <w:iCs/>
                <w:color w:val="7A5C20"/>
                <w:sz w:val="21"/>
                <w:szCs w:val="21"/>
              </w:rPr>
              <w:t xml:space="preserve">egó sin espada y sin historia. Veintiséis años, complexión atlética, sin antecedentes que valieran la pena en el </w:t>
            </w:r>
            <w:proofErr w:type="spellStart"/>
            <w:r>
              <w:rPr>
                <w:i/>
                <w:iCs/>
                <w:color w:val="7A5C20"/>
                <w:sz w:val="21"/>
                <w:szCs w:val="21"/>
              </w:rPr>
              <w:t>triage</w:t>
            </w:r>
            <w:proofErr w:type="spellEnd"/>
            <w:r>
              <w:rPr>
                <w:i/>
                <w:iCs/>
                <w:color w:val="7A5C20"/>
                <w:sz w:val="21"/>
                <w:szCs w:val="21"/>
              </w:rPr>
              <w:t xml:space="preserve">. La queja era simple y perturbadora a partes iguales: </w:t>
            </w:r>
            <w:r>
              <w:rPr>
                <w:b/>
                <w:bCs/>
                <w:i/>
                <w:iCs/>
                <w:color w:val="7A1515"/>
                <w:sz w:val="21"/>
                <w:szCs w:val="21"/>
              </w:rPr>
              <w:t>no podía levantarse de la cama.</w:t>
            </w:r>
          </w:p>
          <w:p w14:paraId="150FB984" w14:textId="77777777" w:rsidR="00C77558" w:rsidRDefault="006008DB">
            <w:pPr>
              <w:spacing w:after="120"/>
              <w:jc w:val="both"/>
            </w:pPr>
            <w:r>
              <w:rPr>
                <w:i/>
                <w:iCs/>
                <w:color w:val="7A5C20"/>
                <w:sz w:val="21"/>
                <w:szCs w:val="21"/>
              </w:rPr>
              <w:t>La noche anterior había celebrado. Comida abundant</w:t>
            </w:r>
            <w:r>
              <w:rPr>
                <w:i/>
                <w:iCs/>
                <w:color w:val="7A5C20"/>
                <w:sz w:val="21"/>
                <w:szCs w:val="21"/>
              </w:rPr>
              <w:t>e —carbohidratos, sal, brindis— y una sesión intensa en el gimnasio antes de dormir. Ahora, seis horas después, yacía en la camilla con la mirada lúcida y el cuerpo traicionero. Reflejos osteotendinosos: abolidos. Pares craneales: intactos. Conciencia: per</w:t>
            </w:r>
            <w:r>
              <w:rPr>
                <w:i/>
                <w:iCs/>
                <w:color w:val="7A5C20"/>
                <w:sz w:val="21"/>
                <w:szCs w:val="21"/>
              </w:rPr>
              <w:t>fecta.</w:t>
            </w:r>
          </w:p>
          <w:p w14:paraId="174CC9D5" w14:textId="77777777" w:rsidR="00C77558" w:rsidRDefault="006008DB">
            <w:pPr>
              <w:spacing w:after="120"/>
              <w:jc w:val="both"/>
            </w:pPr>
            <w:r>
              <w:rPr>
                <w:i/>
                <w:iCs/>
                <w:color w:val="7A5C20"/>
                <w:sz w:val="21"/>
                <w:szCs w:val="21"/>
              </w:rPr>
              <w:t xml:space="preserve">La residente de primer año pensó en Guillain-Barré. El médico de turno pensó en crisis conversiva. Nadie preguntó si su padre había tenido algo parecido. </w:t>
            </w:r>
            <w:r>
              <w:rPr>
                <w:b/>
                <w:bCs/>
                <w:i/>
                <w:iCs/>
                <w:color w:val="7A1515"/>
                <w:sz w:val="21"/>
                <w:szCs w:val="21"/>
              </w:rPr>
              <w:t>Nadie preguntó si esto había pasado antes.</w:t>
            </w:r>
          </w:p>
          <w:p w14:paraId="77E7B1CA" w14:textId="77777777" w:rsidR="00C77558" w:rsidRDefault="006008DB">
            <w:pPr>
              <w:jc w:val="both"/>
            </w:pPr>
            <w:r>
              <w:rPr>
                <w:i/>
                <w:iCs/>
                <w:color w:val="7A5C20"/>
                <w:sz w:val="21"/>
                <w:szCs w:val="21"/>
              </w:rPr>
              <w:t>El potasio llegó: 2.1 mEq/L. El grimorio de urgencia</w:t>
            </w:r>
            <w:r>
              <w:rPr>
                <w:i/>
                <w:iCs/>
                <w:color w:val="7A5C20"/>
                <w:sz w:val="21"/>
                <w:szCs w:val="21"/>
              </w:rPr>
              <w:t>s se abrió en la página correcta —pero solo si sabías buscar.</w:t>
            </w:r>
          </w:p>
        </w:tc>
      </w:tr>
    </w:tbl>
    <w:p w14:paraId="253AD27D" w14:textId="77777777" w:rsidR="00C77558" w:rsidRDefault="00C77558">
      <w:pPr>
        <w:spacing w:before="280"/>
      </w:pPr>
    </w:p>
    <w:p w14:paraId="5CA9CC97" w14:textId="77777777" w:rsidR="00C77558" w:rsidRDefault="006008DB">
      <w:pPr>
        <w:pStyle w:val="Ttulo2"/>
      </w:pPr>
      <w:r>
        <w:t>¿POR QUÉ IMPORTA EN URGENCIAS?</w:t>
      </w:r>
    </w:p>
    <w:p w14:paraId="791AAC1F" w14:textId="77777777" w:rsidR="00C77558" w:rsidRDefault="00C77558">
      <w:pPr>
        <w:pBdr>
          <w:bottom w:val="single" w:sz="4" w:space="1" w:color="7A1515"/>
        </w:pBdr>
        <w:spacing w:before="120" w:after="120"/>
      </w:pPr>
    </w:p>
    <w:p w14:paraId="0F4A175A" w14:textId="77777777" w:rsidR="00C77558" w:rsidRDefault="00C77558">
      <w:pPr>
        <w:spacing w:before="80"/>
      </w:pPr>
    </w:p>
    <w:p w14:paraId="286E955D" w14:textId="77777777" w:rsidR="00C77558" w:rsidRDefault="006008DB">
      <w:pPr>
        <w:spacing w:before="80" w:after="80"/>
        <w:jc w:val="both"/>
      </w:pPr>
      <w:r>
        <w:t xml:space="preserve">La parálisis periódica </w:t>
      </w:r>
      <w:proofErr w:type="spellStart"/>
      <w:r>
        <w:t>hipocalémica</w:t>
      </w:r>
      <w:proofErr w:type="spellEnd"/>
      <w:r>
        <w:t xml:space="preserve"> familiar (</w:t>
      </w:r>
      <w:proofErr w:type="spellStart"/>
      <w:r>
        <w:t>HypoPP</w:t>
      </w:r>
      <w:proofErr w:type="spellEnd"/>
      <w:r>
        <w:t xml:space="preserve">) es una </w:t>
      </w:r>
      <w:proofErr w:type="spellStart"/>
      <w:r>
        <w:t>canalopatía</w:t>
      </w:r>
      <w:proofErr w:type="spellEnd"/>
      <w:r>
        <w:t xml:space="preserve"> muscular rara pero reconocible. El problema no es su rareza —es que imita perfectamente condiciones neurológicas de alta urgencia. El tiempo que se pierde buscando un ictus o un Guill</w:t>
      </w:r>
      <w:r>
        <w:t xml:space="preserve">ain-Barré en un paciente con </w:t>
      </w:r>
      <w:proofErr w:type="spellStart"/>
      <w:r>
        <w:t>HypoPP</w:t>
      </w:r>
      <w:proofErr w:type="spellEnd"/>
      <w:r>
        <w:t xml:space="preserve"> es tiempo que el QT prolongado usa para evolucionar hacia una arritmia fatal.</w:t>
      </w:r>
    </w:p>
    <w:p w14:paraId="3564D712" w14:textId="77777777" w:rsidR="00C77558" w:rsidRDefault="00C77558">
      <w:pPr>
        <w:spacing w:before="1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C77558" w14:paraId="3C5EB300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4E8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789B8F8C" w14:textId="77777777" w:rsidR="00C77558" w:rsidRDefault="006008DB">
            <w:pPr>
              <w:jc w:val="center"/>
            </w:pPr>
            <w:r>
              <w:rPr>
                <w:b/>
                <w:bCs/>
                <w:color w:val="7A1515"/>
                <w:sz w:val="28"/>
                <w:szCs w:val="28"/>
              </w:rPr>
              <w:t>~1:100.000</w:t>
            </w:r>
          </w:p>
          <w:p w14:paraId="02DEEF0A" w14:textId="77777777" w:rsidR="00C77558" w:rsidRDefault="006008DB">
            <w:pPr>
              <w:jc w:val="center"/>
            </w:pPr>
            <w:r>
              <w:rPr>
                <w:rFonts w:ascii="Arial" w:eastAsia="Arial" w:hAnsi="Arial" w:cs="Arial"/>
                <w:color w:val="888888"/>
                <w:sz w:val="17"/>
                <w:szCs w:val="17"/>
              </w:rPr>
              <w:t xml:space="preserve">Incidencia </w:t>
            </w:r>
            <w:proofErr w:type="spellStart"/>
            <w:r>
              <w:rPr>
                <w:rFonts w:ascii="Arial" w:eastAsia="Arial" w:hAnsi="Arial" w:cs="Arial"/>
                <w:color w:val="888888"/>
                <w:sz w:val="17"/>
                <w:szCs w:val="17"/>
              </w:rPr>
              <w:t>HypoPP</w:t>
            </w:r>
            <w:proofErr w:type="spellEnd"/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4E8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3D850BCE" w14:textId="77777777" w:rsidR="00C77558" w:rsidRDefault="006008DB">
            <w:pPr>
              <w:jc w:val="center"/>
            </w:pPr>
            <w:r>
              <w:rPr>
                <w:b/>
                <w:bCs/>
                <w:color w:val="7A1515"/>
                <w:sz w:val="28"/>
                <w:szCs w:val="28"/>
              </w:rPr>
              <w:t>15–35 años</w:t>
            </w:r>
          </w:p>
          <w:p w14:paraId="3422A805" w14:textId="77777777" w:rsidR="00C77558" w:rsidRDefault="006008DB">
            <w:pPr>
              <w:jc w:val="center"/>
            </w:pPr>
            <w:r>
              <w:rPr>
                <w:rFonts w:ascii="Arial" w:eastAsia="Arial" w:hAnsi="Arial" w:cs="Arial"/>
                <w:color w:val="888888"/>
                <w:sz w:val="17"/>
                <w:szCs w:val="17"/>
              </w:rPr>
              <w:t>Edad típica de debut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4E8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30948B8E" w14:textId="77777777" w:rsidR="00C77558" w:rsidRDefault="006008DB">
            <w:pPr>
              <w:jc w:val="center"/>
            </w:pPr>
            <w:r>
              <w:rPr>
                <w:b/>
                <w:bCs/>
                <w:color w:val="7A1515"/>
                <w:sz w:val="28"/>
                <w:szCs w:val="28"/>
              </w:rPr>
              <w:t>AD</w:t>
            </w:r>
          </w:p>
          <w:p w14:paraId="4DBA81DB" w14:textId="77777777" w:rsidR="00C77558" w:rsidRDefault="006008DB">
            <w:pPr>
              <w:jc w:val="center"/>
            </w:pPr>
            <w:r>
              <w:rPr>
                <w:rFonts w:ascii="Arial" w:eastAsia="Arial" w:hAnsi="Arial" w:cs="Arial"/>
                <w:color w:val="888888"/>
                <w:sz w:val="17"/>
                <w:szCs w:val="17"/>
              </w:rPr>
              <w:t>Herencia autosómica dominante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4E8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07147C0A" w14:textId="77777777" w:rsidR="00C77558" w:rsidRDefault="006008DB">
            <w:pPr>
              <w:jc w:val="center"/>
            </w:pPr>
            <w:r>
              <w:rPr>
                <w:b/>
                <w:bCs/>
                <w:color w:val="7A1515"/>
                <w:sz w:val="28"/>
                <w:szCs w:val="28"/>
              </w:rPr>
              <w:t>2 tipos</w:t>
            </w:r>
          </w:p>
          <w:p w14:paraId="37E73811" w14:textId="77777777" w:rsidR="00C77558" w:rsidRDefault="006008DB">
            <w:pPr>
              <w:jc w:val="center"/>
            </w:pPr>
            <w:r>
              <w:rPr>
                <w:rFonts w:ascii="Arial" w:eastAsia="Arial" w:hAnsi="Arial" w:cs="Arial"/>
                <w:color w:val="888888"/>
                <w:sz w:val="17"/>
                <w:szCs w:val="17"/>
              </w:rPr>
              <w:t>CACNA1S · SCN4A</w:t>
            </w:r>
          </w:p>
        </w:tc>
      </w:tr>
    </w:tbl>
    <w:p w14:paraId="1805E423" w14:textId="77777777" w:rsidR="00C77558" w:rsidRDefault="00C77558">
      <w:pPr>
        <w:spacing w:before="160"/>
      </w:pPr>
    </w:p>
    <w:p w14:paraId="350DE417" w14:textId="77777777" w:rsidR="00C77558" w:rsidRDefault="006008DB">
      <w:pPr>
        <w:pStyle w:val="Ttulo2"/>
      </w:pPr>
      <w:r>
        <w:t>GENÉTICA: LOS DOS TIPOS QUE DEBES CONOCER</w:t>
      </w:r>
    </w:p>
    <w:p w14:paraId="70F403DE" w14:textId="77777777" w:rsidR="00C77558" w:rsidRDefault="00C77558">
      <w:pPr>
        <w:pBdr>
          <w:bottom w:val="single" w:sz="4" w:space="1" w:color="7A1515"/>
        </w:pBdr>
        <w:spacing w:before="120" w:after="120"/>
      </w:pPr>
    </w:p>
    <w:p w14:paraId="5C4560B8" w14:textId="77777777" w:rsidR="00C77558" w:rsidRDefault="00C77558">
      <w:pPr>
        <w:spacing w:before="80"/>
      </w:pPr>
    </w:p>
    <w:p w14:paraId="6C9C6375" w14:textId="77777777" w:rsidR="00C77558" w:rsidRDefault="006008DB">
      <w:pPr>
        <w:spacing w:before="80" w:after="80"/>
        <w:jc w:val="both"/>
      </w:pPr>
      <w:r>
        <w:t xml:space="preserve">La </w:t>
      </w:r>
      <w:proofErr w:type="spellStart"/>
      <w:r>
        <w:t>HypoPP</w:t>
      </w:r>
      <w:proofErr w:type="spellEnd"/>
      <w:r>
        <w:t xml:space="preserve"> familiar es una </w:t>
      </w:r>
      <w:proofErr w:type="spellStart"/>
      <w:r>
        <w:t>canalopatía</w:t>
      </w:r>
      <w:proofErr w:type="spellEnd"/>
      <w:r>
        <w:t xml:space="preserve"> de herencia autosómica dominante con penetrancia reducida en mujeres. La vía final común es una despolarización aberrante que inactiva los canales iónicos, llevando a la </w:t>
      </w:r>
      <w:proofErr w:type="spellStart"/>
      <w:r>
        <w:t>inex</w:t>
      </w:r>
      <w:r>
        <w:t>citabilidad</w:t>
      </w:r>
      <w:proofErr w:type="spellEnd"/>
      <w:r>
        <w:t xml:space="preserve"> de la fibra muscular. El potasio se desplaza hacia el interior celular —no se pierde— y este matiz es crítico para el tratamiento.</w:t>
      </w:r>
    </w:p>
    <w:p w14:paraId="46A07FEE" w14:textId="77777777" w:rsidR="00C77558" w:rsidRDefault="00C77558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1600"/>
        <w:gridCol w:w="2760"/>
        <w:gridCol w:w="1400"/>
        <w:gridCol w:w="2400"/>
      </w:tblGrid>
      <w:tr w:rsidR="00C77558" w14:paraId="10565733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D1A0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58B431" w14:textId="77777777" w:rsidR="00C77558" w:rsidRDefault="006008DB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Tipo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D1A0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057066" w14:textId="77777777" w:rsidR="00C77558" w:rsidRDefault="006008DB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Gen mutado</w:t>
            </w:r>
          </w:p>
        </w:tc>
        <w:tc>
          <w:tcPr>
            <w:tcW w:w="2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D1A0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B5E686" w14:textId="77777777" w:rsidR="00C77558" w:rsidRDefault="006008DB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Canal afectado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D1A0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598AFB" w14:textId="77777777" w:rsidR="00C77558" w:rsidRDefault="006008DB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Frecuencia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D1A0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359307" w14:textId="77777777" w:rsidR="00C77558" w:rsidRDefault="006008DB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Respuesta a acetazolamida</w:t>
            </w:r>
          </w:p>
        </w:tc>
      </w:tr>
      <w:tr w:rsidR="00C77558" w14:paraId="18EEF4F1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5C0955" w14:textId="77777777" w:rsidR="00C77558" w:rsidRDefault="006008DB">
            <w:r>
              <w:rPr>
                <w:sz w:val="20"/>
                <w:szCs w:val="20"/>
              </w:rPr>
              <w:t>Tipo 1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DED87E" w14:textId="77777777" w:rsidR="00C77558" w:rsidRDefault="006008DB">
            <w:r>
              <w:rPr>
                <w:sz w:val="20"/>
                <w:szCs w:val="20"/>
              </w:rPr>
              <w:t>CACNA1S</w:t>
            </w:r>
          </w:p>
        </w:tc>
        <w:tc>
          <w:tcPr>
            <w:tcW w:w="2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245914" w14:textId="77777777" w:rsidR="00C77558" w:rsidRDefault="006008DB">
            <w:r>
              <w:rPr>
                <w:sz w:val="20"/>
                <w:szCs w:val="20"/>
              </w:rPr>
              <w:t>Canal de calcio L-</w:t>
            </w:r>
            <w:proofErr w:type="spellStart"/>
            <w:r>
              <w:rPr>
                <w:sz w:val="20"/>
                <w:szCs w:val="20"/>
              </w:rPr>
              <w:t>type</w:t>
            </w:r>
            <w:proofErr w:type="spellEnd"/>
            <w:r>
              <w:rPr>
                <w:sz w:val="20"/>
                <w:szCs w:val="20"/>
              </w:rPr>
              <w:t xml:space="preserve"> (DHP-sensible)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7A1F1F" w14:textId="77777777" w:rsidR="00C77558" w:rsidRDefault="006008DB">
            <w:r>
              <w:rPr>
                <w:sz w:val="20"/>
                <w:szCs w:val="20"/>
              </w:rPr>
              <w:t>~70%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08AD58" w14:textId="77777777" w:rsidR="00C77558" w:rsidRDefault="006008DB">
            <w:r>
              <w:rPr>
                <w:sz w:val="20"/>
                <w:szCs w:val="20"/>
              </w:rPr>
              <w:t>✓</w:t>
            </w:r>
            <w:r>
              <w:rPr>
                <w:sz w:val="20"/>
                <w:szCs w:val="20"/>
              </w:rPr>
              <w:t xml:space="preserve"> Mayor respuesta</w:t>
            </w:r>
          </w:p>
        </w:tc>
      </w:tr>
      <w:tr w:rsidR="00C77558" w14:paraId="569803D7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379194" w14:textId="77777777" w:rsidR="00C77558" w:rsidRDefault="006008DB">
            <w:r>
              <w:rPr>
                <w:sz w:val="20"/>
                <w:szCs w:val="20"/>
              </w:rPr>
              <w:t>Tipo 2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D88DF1" w14:textId="77777777" w:rsidR="00C77558" w:rsidRDefault="006008DB">
            <w:r>
              <w:rPr>
                <w:sz w:val="20"/>
                <w:szCs w:val="20"/>
              </w:rPr>
              <w:t>SCN4A</w:t>
            </w:r>
          </w:p>
        </w:tc>
        <w:tc>
          <w:tcPr>
            <w:tcW w:w="2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CA32B7" w14:textId="77777777" w:rsidR="00C77558" w:rsidRDefault="006008DB">
            <w:r>
              <w:rPr>
                <w:sz w:val="20"/>
                <w:szCs w:val="20"/>
              </w:rPr>
              <w:t>Canal de sodio dependiente de voltaje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0859FF" w14:textId="77777777" w:rsidR="00C77558" w:rsidRDefault="006008DB">
            <w:r>
              <w:rPr>
                <w:sz w:val="20"/>
                <w:szCs w:val="20"/>
              </w:rPr>
              <w:t>~10%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713201" w14:textId="77777777" w:rsidR="00C77558" w:rsidRDefault="006008DB">
            <w:r>
              <w:rPr>
                <w:sz w:val="20"/>
                <w:szCs w:val="20"/>
              </w:rPr>
              <w:t>↓ Menor respuesta</w:t>
            </w:r>
          </w:p>
        </w:tc>
      </w:tr>
      <w:tr w:rsidR="00C77558" w14:paraId="767D183D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D820C8" w14:textId="77777777" w:rsidR="00C77558" w:rsidRDefault="006008DB">
            <w:r>
              <w:rPr>
                <w:sz w:val="20"/>
                <w:szCs w:val="20"/>
              </w:rPr>
              <w:t>Otros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6E4BAF" w14:textId="77777777" w:rsidR="00C77558" w:rsidRDefault="006008DB">
            <w:r>
              <w:rPr>
                <w:sz w:val="20"/>
                <w:szCs w:val="20"/>
              </w:rPr>
              <w:t>KCNJ2, KCNJ18</w:t>
            </w:r>
          </w:p>
        </w:tc>
        <w:tc>
          <w:tcPr>
            <w:tcW w:w="2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5A46CE" w14:textId="77777777" w:rsidR="00C77558" w:rsidRDefault="006008DB">
            <w:r>
              <w:rPr>
                <w:sz w:val="20"/>
                <w:szCs w:val="20"/>
              </w:rPr>
              <w:t>Canales rectificadores de K⁺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5AF23B" w14:textId="77777777" w:rsidR="00C77558" w:rsidRDefault="006008DB">
            <w:r>
              <w:rPr>
                <w:sz w:val="20"/>
                <w:szCs w:val="20"/>
              </w:rPr>
              <w:t>~20%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0B670C" w14:textId="77777777" w:rsidR="00C77558" w:rsidRDefault="006008DB">
            <w:r>
              <w:rPr>
                <w:sz w:val="20"/>
                <w:szCs w:val="20"/>
              </w:rPr>
              <w:t>Variable</w:t>
            </w:r>
          </w:p>
        </w:tc>
      </w:tr>
    </w:tbl>
    <w:p w14:paraId="3817D70B" w14:textId="77777777" w:rsidR="00C77558" w:rsidRDefault="00C77558">
      <w:pPr>
        <w:spacing w:before="160"/>
      </w:pPr>
    </w:p>
    <w:p w14:paraId="05A196A5" w14:textId="77777777" w:rsidR="00C77558" w:rsidRDefault="006008DB">
      <w:pPr>
        <w:pStyle w:val="Ttulo2"/>
      </w:pPr>
      <w:r>
        <w:t>LA TRAMPA: HYPOPP FAMILIAR + TIROTOXICOSIS</w:t>
      </w:r>
    </w:p>
    <w:p w14:paraId="231CDCA9" w14:textId="77777777" w:rsidR="00C77558" w:rsidRDefault="00C77558">
      <w:pPr>
        <w:pBdr>
          <w:bottom w:val="single" w:sz="4" w:space="1" w:color="7A1515"/>
        </w:pBdr>
        <w:spacing w:before="120" w:after="120"/>
      </w:pPr>
    </w:p>
    <w:p w14:paraId="2549F306" w14:textId="77777777" w:rsidR="00C77558" w:rsidRDefault="00C77558">
      <w:pPr>
        <w:spacing w:before="80"/>
      </w:pPr>
    </w:p>
    <w:p w14:paraId="20FCE66D" w14:textId="77777777" w:rsidR="00C77558" w:rsidRDefault="006008DB">
      <w:pPr>
        <w:spacing w:before="80" w:after="80"/>
        <w:jc w:val="both"/>
      </w:pPr>
      <w:r>
        <w:t xml:space="preserve">Existe una superposición clínica peligrosa entre la </w:t>
      </w:r>
      <w:proofErr w:type="spellStart"/>
      <w:r>
        <w:t>HypoPP</w:t>
      </w:r>
      <w:proofErr w:type="spellEnd"/>
      <w:r>
        <w:t xml:space="preserve"> familiar y la parálisis periódica </w:t>
      </w:r>
      <w:proofErr w:type="spellStart"/>
      <w:r>
        <w:t>tirotóxica</w:t>
      </w:r>
      <w:proofErr w:type="spellEnd"/>
      <w:r>
        <w:t xml:space="preserve"> (TPP). La TPP es la forma adquirida, asociada a hipertiroidismo (más frecuentemente enfermedad de Graves), </w:t>
      </w:r>
      <w:r>
        <w:t xml:space="preserve">y puede coexistir con o enmascarar una </w:t>
      </w:r>
      <w:proofErr w:type="spellStart"/>
      <w:r>
        <w:t>HypoPP</w:t>
      </w:r>
      <w:proofErr w:type="spellEnd"/>
      <w:r>
        <w:t xml:space="preserve"> genética subyacente.</w:t>
      </w:r>
    </w:p>
    <w:p w14:paraId="2120B4BF" w14:textId="77777777" w:rsidR="00C77558" w:rsidRDefault="00C77558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"/>
        <w:gridCol w:w="9160"/>
      </w:tblGrid>
      <w:tr w:rsidR="00C77558" w14:paraId="748C1757" w14:textId="77777777">
        <w:tblPrEx>
          <w:tblCellMar>
            <w:top w:w="0" w:type="dxa"/>
            <w:bottom w:w="0" w:type="dxa"/>
          </w:tblCellMar>
        </w:tblPrEx>
        <w:tc>
          <w:tcPr>
            <w:tcW w:w="200" w:type="dxa"/>
            <w:tcBorders>
              <w:top w:val="none" w:sz="0" w:space="0" w:color="FFFFFF"/>
              <w:left w:val="single" w:sz="16" w:space="0" w:color="7A1515"/>
              <w:bottom w:val="none" w:sz="0" w:space="0" w:color="FFFFFF"/>
              <w:right w:val="none" w:sz="0" w:space="0" w:color="FFFFFF"/>
            </w:tcBorders>
          </w:tcPr>
          <w:p w14:paraId="7EC2D25C" w14:textId="77777777" w:rsidR="00C77558" w:rsidRDefault="00C77558"/>
        </w:tc>
        <w:tc>
          <w:tcPr>
            <w:tcW w:w="9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DF0F0"/>
            <w:tcMar>
              <w:top w:w="120" w:type="dxa"/>
              <w:left w:w="200" w:type="dxa"/>
              <w:bottom w:w="120" w:type="dxa"/>
              <w:right w:w="120" w:type="dxa"/>
            </w:tcMar>
          </w:tcPr>
          <w:p w14:paraId="130CFE7F" w14:textId="77777777" w:rsidR="00C77558" w:rsidRDefault="006008DB">
            <w:pPr>
              <w:jc w:val="both"/>
            </w:pPr>
            <w:r>
              <w:rPr>
                <w:i/>
                <w:iCs/>
                <w:color w:val="7A3030"/>
                <w:sz w:val="24"/>
                <w:szCs w:val="24"/>
              </w:rPr>
              <w:t>El médico que diagnostica TPP y da el alta sin preguntar por antecedentes familiares está dejando el grimorio a mitad de página. La mutación sigue ahí, esperando el próximo desencadenante</w:t>
            </w:r>
            <w:r>
              <w:rPr>
                <w:i/>
                <w:iCs/>
                <w:color w:val="7A3030"/>
                <w:sz w:val="24"/>
                <w:szCs w:val="24"/>
              </w:rPr>
              <w:t>.</w:t>
            </w:r>
          </w:p>
        </w:tc>
      </w:tr>
    </w:tbl>
    <w:p w14:paraId="3D685034" w14:textId="77777777" w:rsidR="00C77558" w:rsidRDefault="00C77558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C77558" w14:paraId="6B05C677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F0F0"/>
            <w:tcMar>
              <w:top w:w="80" w:type="dxa"/>
              <w:left w:w="160" w:type="dxa"/>
              <w:bottom w:w="40" w:type="dxa"/>
              <w:right w:w="160" w:type="dxa"/>
            </w:tcMar>
          </w:tcPr>
          <w:p w14:paraId="65D9AE6F" w14:textId="77777777" w:rsidR="00C77558" w:rsidRDefault="006008DB">
            <w:r>
              <w:rPr>
                <w:rFonts w:ascii="Arial" w:eastAsia="Arial" w:hAnsi="Arial" w:cs="Arial"/>
                <w:b/>
                <w:bCs/>
                <w:color w:val="7A1515"/>
                <w:sz w:val="18"/>
                <w:szCs w:val="18"/>
              </w:rPr>
              <w:t>⚠</w:t>
            </w:r>
            <w:r>
              <w:rPr>
                <w:rFonts w:ascii="Arial" w:eastAsia="Arial" w:hAnsi="Arial" w:cs="Arial"/>
                <w:b/>
                <w:bCs/>
                <w:color w:val="7A1515"/>
                <w:sz w:val="18"/>
                <w:szCs w:val="18"/>
              </w:rPr>
              <w:t xml:space="preserve"> TRAMPA CLÍNICA</w:t>
            </w:r>
          </w:p>
        </w:tc>
      </w:tr>
      <w:tr w:rsidR="00C77558" w14:paraId="0DB68A4C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F0F0"/>
            <w:tcMar>
              <w:top w:w="40" w:type="dxa"/>
              <w:left w:w="160" w:type="dxa"/>
              <w:bottom w:w="100" w:type="dxa"/>
              <w:right w:w="160" w:type="dxa"/>
            </w:tcMar>
          </w:tcPr>
          <w:p w14:paraId="579BC3E2" w14:textId="77777777" w:rsidR="00C77558" w:rsidRDefault="006008DB">
            <w:pPr>
              <w:jc w:val="both"/>
            </w:pPr>
            <w:r>
              <w:rPr>
                <w:sz w:val="21"/>
                <w:szCs w:val="21"/>
              </w:rPr>
              <w:t xml:space="preserve">La coexistencia de </w:t>
            </w:r>
            <w:proofErr w:type="spellStart"/>
            <w:r>
              <w:rPr>
                <w:sz w:val="21"/>
                <w:szCs w:val="21"/>
              </w:rPr>
              <w:t>HypoPP</w:t>
            </w:r>
            <w:proofErr w:type="spellEnd"/>
            <w:r>
              <w:rPr>
                <w:sz w:val="21"/>
                <w:szCs w:val="21"/>
              </w:rPr>
              <w:t xml:space="preserve"> familiar (CACNA1S/SCN4A) e hipertiroidismo por Graves es rara pero documentada. En estos casos, tratar solo la tirotoxicosis no previene futuros episodios. El test genético está indicado cuando hay historia familiar de episodios s</w:t>
            </w:r>
            <w:r>
              <w:rPr>
                <w:sz w:val="21"/>
                <w:szCs w:val="21"/>
              </w:rPr>
              <w:t xml:space="preserve">imilares o cuando los ataques persisten después del </w:t>
            </w:r>
            <w:proofErr w:type="spellStart"/>
            <w:r>
              <w:rPr>
                <w:sz w:val="21"/>
                <w:szCs w:val="21"/>
              </w:rPr>
              <w:t>eutiroidismo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</w:tr>
    </w:tbl>
    <w:p w14:paraId="2EE44D3E" w14:textId="77777777" w:rsidR="00C77558" w:rsidRDefault="00C77558">
      <w:pPr>
        <w:spacing w:before="160"/>
      </w:pPr>
    </w:p>
    <w:p w14:paraId="07740FE1" w14:textId="77777777" w:rsidR="00C77558" w:rsidRDefault="006008DB">
      <w:pPr>
        <w:pStyle w:val="Ttulo2"/>
      </w:pPr>
      <w:r>
        <w:t>PRESENTACIÓN CLÍNICA EN URGENCIAS</w:t>
      </w:r>
    </w:p>
    <w:p w14:paraId="0A91E1BD" w14:textId="77777777" w:rsidR="00C77558" w:rsidRDefault="00C77558">
      <w:pPr>
        <w:pBdr>
          <w:bottom w:val="single" w:sz="4" w:space="1" w:color="7A1515"/>
        </w:pBdr>
        <w:spacing w:before="120" w:after="120"/>
      </w:pPr>
    </w:p>
    <w:p w14:paraId="198DCF94" w14:textId="77777777" w:rsidR="00C77558" w:rsidRDefault="00C77558">
      <w:pPr>
        <w:spacing w:before="80"/>
      </w:pPr>
    </w:p>
    <w:p w14:paraId="706111EA" w14:textId="77777777" w:rsidR="00C77558" w:rsidRDefault="006008DB">
      <w:pPr>
        <w:spacing w:before="120" w:after="80"/>
      </w:pPr>
      <w:r>
        <w:rPr>
          <w:b/>
          <w:bCs/>
        </w:rPr>
        <w:t>Desencadenantes clásicos (preguntar activamente):</w:t>
      </w:r>
    </w:p>
    <w:p w14:paraId="56F94434" w14:textId="77777777" w:rsidR="00C77558" w:rsidRDefault="006008DB">
      <w:pPr>
        <w:pStyle w:val="Prrafodelista"/>
        <w:numPr>
          <w:ilvl w:val="0"/>
          <w:numId w:val="2"/>
        </w:numPr>
        <w:spacing w:before="60" w:after="60"/>
      </w:pPr>
      <w:r>
        <w:t>Comida copiosa rica en carbohidratos y sodio la noche anterior</w:t>
      </w:r>
    </w:p>
    <w:p w14:paraId="33BA6505" w14:textId="77777777" w:rsidR="00C77558" w:rsidRDefault="006008DB">
      <w:pPr>
        <w:pStyle w:val="Prrafodelista"/>
        <w:numPr>
          <w:ilvl w:val="0"/>
          <w:numId w:val="2"/>
        </w:numPr>
        <w:spacing w:before="60" w:after="60"/>
      </w:pPr>
      <w:r>
        <w:t>Ejercicio intenso seguido de reposo (no durante el ejercicio)</w:t>
      </w:r>
    </w:p>
    <w:p w14:paraId="10C23A66" w14:textId="77777777" w:rsidR="00C77558" w:rsidRDefault="006008DB">
      <w:pPr>
        <w:pStyle w:val="Prrafodelista"/>
        <w:numPr>
          <w:ilvl w:val="0"/>
          <w:numId w:val="2"/>
        </w:numPr>
        <w:spacing w:before="60" w:after="60"/>
      </w:pPr>
      <w:r>
        <w:lastRenderedPageBreak/>
        <w:t xml:space="preserve">Uso de beta-agonistas (broncodilatadores, </w:t>
      </w:r>
      <w:proofErr w:type="spellStart"/>
      <w:r>
        <w:t>tocolíticos</w:t>
      </w:r>
      <w:proofErr w:type="spellEnd"/>
      <w:r>
        <w:t>)</w:t>
      </w:r>
    </w:p>
    <w:p w14:paraId="06471CC5" w14:textId="77777777" w:rsidR="00C77558" w:rsidRDefault="006008DB">
      <w:pPr>
        <w:pStyle w:val="Prrafodelista"/>
        <w:numPr>
          <w:ilvl w:val="0"/>
          <w:numId w:val="2"/>
        </w:numPr>
        <w:spacing w:before="60" w:after="60"/>
      </w:pPr>
      <w:r>
        <w:t>Estrés, infecciones, alcohol</w:t>
      </w:r>
    </w:p>
    <w:p w14:paraId="71277081" w14:textId="77777777" w:rsidR="00C77558" w:rsidRDefault="006008DB">
      <w:pPr>
        <w:pStyle w:val="Prrafodelista"/>
        <w:numPr>
          <w:ilvl w:val="0"/>
          <w:numId w:val="2"/>
        </w:numPr>
        <w:spacing w:before="60" w:after="60"/>
      </w:pPr>
      <w:r>
        <w:t>Ayuno prolongado con posterior carga de glucosa</w:t>
      </w:r>
    </w:p>
    <w:p w14:paraId="1113F4E2" w14:textId="77777777" w:rsidR="00C77558" w:rsidRDefault="006008DB">
      <w:pPr>
        <w:pStyle w:val="Prrafodelista"/>
        <w:numPr>
          <w:ilvl w:val="0"/>
          <w:numId w:val="2"/>
        </w:numPr>
        <w:spacing w:before="60" w:after="60"/>
      </w:pPr>
      <w:r>
        <w:t>Administración de insulina o glucosa IV</w:t>
      </w:r>
    </w:p>
    <w:p w14:paraId="45A64ADB" w14:textId="77777777" w:rsidR="00C77558" w:rsidRDefault="00C77558">
      <w:pPr>
        <w:spacing w:before="120"/>
      </w:pPr>
    </w:p>
    <w:p w14:paraId="17929BB6" w14:textId="77777777" w:rsidR="00C77558" w:rsidRDefault="006008DB">
      <w:pPr>
        <w:spacing w:before="120" w:after="80"/>
      </w:pPr>
      <w:r>
        <w:rPr>
          <w:b/>
          <w:bCs/>
        </w:rPr>
        <w:t>Examen físico esperado:</w:t>
      </w:r>
    </w:p>
    <w:p w14:paraId="6E6C5B06" w14:textId="77777777" w:rsidR="00C77558" w:rsidRDefault="006008DB">
      <w:pPr>
        <w:pStyle w:val="Prrafodelista"/>
        <w:numPr>
          <w:ilvl w:val="0"/>
          <w:numId w:val="2"/>
        </w:numPr>
        <w:spacing w:before="60" w:after="60"/>
      </w:pPr>
      <w:r>
        <w:t>Debilidad proximal, simétrica, predominio en miembros inferiores (puede ascender)</w:t>
      </w:r>
    </w:p>
    <w:p w14:paraId="4DECE113" w14:textId="77777777" w:rsidR="00C77558" w:rsidRDefault="006008DB">
      <w:pPr>
        <w:pStyle w:val="Prrafodelista"/>
        <w:numPr>
          <w:ilvl w:val="0"/>
          <w:numId w:val="2"/>
        </w:numPr>
        <w:spacing w:before="60" w:after="60"/>
      </w:pPr>
      <w:r>
        <w:t>Reflejos osteotendinosos disminuidos o abolidos durante el episodio</w:t>
      </w:r>
    </w:p>
    <w:p w14:paraId="13838553" w14:textId="77777777" w:rsidR="00C77558" w:rsidRDefault="006008DB">
      <w:pPr>
        <w:pStyle w:val="Prrafodelista"/>
        <w:numPr>
          <w:ilvl w:val="0"/>
          <w:numId w:val="2"/>
        </w:numPr>
        <w:spacing w:before="60" w:after="60"/>
      </w:pPr>
      <w:r>
        <w:t>Pares craneales intactos — diferencia cl</w:t>
      </w:r>
      <w:r>
        <w:t>ave con otras causas de parálisis</w:t>
      </w:r>
    </w:p>
    <w:p w14:paraId="379E7873" w14:textId="77777777" w:rsidR="00C77558" w:rsidRDefault="006008DB">
      <w:pPr>
        <w:pStyle w:val="Prrafodelista"/>
        <w:numPr>
          <w:ilvl w:val="0"/>
          <w:numId w:val="2"/>
        </w:numPr>
        <w:spacing w:before="60" w:after="60"/>
      </w:pPr>
      <w:r>
        <w:t>Conciencia y sensibilidad preservadas — diferencia clave con ictus</w:t>
      </w:r>
    </w:p>
    <w:p w14:paraId="557FAF90" w14:textId="77777777" w:rsidR="00C77558" w:rsidRDefault="006008DB">
      <w:pPr>
        <w:pStyle w:val="Prrafodelista"/>
        <w:numPr>
          <w:ilvl w:val="0"/>
          <w:numId w:val="2"/>
        </w:numPr>
        <w:spacing w:before="60" w:after="60"/>
      </w:pPr>
      <w:r>
        <w:t>En casos graves: afectación de musculatura respiratoria y deglutoria</w:t>
      </w:r>
    </w:p>
    <w:p w14:paraId="1E7F14B6" w14:textId="77777777" w:rsidR="00C77558" w:rsidRDefault="00C77558">
      <w:pPr>
        <w:spacing w:before="160"/>
      </w:pPr>
    </w:p>
    <w:p w14:paraId="0C4A4517" w14:textId="77777777" w:rsidR="00C77558" w:rsidRDefault="006008DB">
      <w:pPr>
        <w:pStyle w:val="Ttulo2"/>
      </w:pPr>
      <w:r>
        <w:t>SOSPECHA DIAGNÓSTICA: EL ALGORITMO</w:t>
      </w:r>
    </w:p>
    <w:p w14:paraId="184934F6" w14:textId="77777777" w:rsidR="00C77558" w:rsidRDefault="00C77558">
      <w:pPr>
        <w:pBdr>
          <w:bottom w:val="single" w:sz="4" w:space="1" w:color="7A1515"/>
        </w:pBdr>
        <w:spacing w:before="120" w:after="120"/>
      </w:pPr>
    </w:p>
    <w:p w14:paraId="4B817E49" w14:textId="77777777" w:rsidR="00C77558" w:rsidRDefault="00C77558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C77558" w14:paraId="1C4EE8C1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CCCCCC"/>
              <w:left w:val="single" w:sz="12" w:space="0" w:color="334488"/>
              <w:bottom w:val="single" w:sz="1" w:space="0" w:color="CCCCCC"/>
              <w:right w:val="single" w:sz="1" w:space="0" w:color="CCCCCC"/>
            </w:tcBorders>
            <w:shd w:val="clear" w:color="auto" w:fill="F0F2FA"/>
            <w:tcMar>
              <w:top w:w="120" w:type="dxa"/>
              <w:left w:w="200" w:type="dxa"/>
              <w:bottom w:w="160" w:type="dxa"/>
              <w:right w:w="160" w:type="dxa"/>
            </w:tcMar>
          </w:tcPr>
          <w:p w14:paraId="41D683D9" w14:textId="77777777" w:rsidR="00C77558" w:rsidRDefault="006008DB">
            <w:pPr>
              <w:spacing w:after="120"/>
            </w:pPr>
            <w:r>
              <w:rPr>
                <w:rFonts w:ascii="Arial" w:eastAsia="Arial" w:hAnsi="Arial" w:cs="Arial"/>
                <w:b/>
                <w:bCs/>
                <w:color w:val="8B6914"/>
                <w:sz w:val="18"/>
                <w:szCs w:val="18"/>
              </w:rPr>
              <w:t xml:space="preserve">◆ ALGORITMO DE SOSPECHA —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8B6914"/>
                <w:sz w:val="18"/>
                <w:szCs w:val="18"/>
              </w:rPr>
              <w:t>HypoPP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8B6914"/>
                <w:sz w:val="18"/>
                <w:szCs w:val="18"/>
              </w:rPr>
              <w:t xml:space="preserve"> EN URGENCIAS</w:t>
            </w:r>
          </w:p>
          <w:p w14:paraId="5D8CE0B1" w14:textId="77777777" w:rsidR="00C77558" w:rsidRDefault="006008DB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4488"/>
                <w:sz w:val="20"/>
                <w:szCs w:val="20"/>
              </w:rPr>
              <w:t>Paciente con DEBILIDAD MUSCULAR AGUDA FLÁCIDA</w:t>
            </w:r>
          </w:p>
          <w:p w14:paraId="0094BD5F" w14:textId="77777777" w:rsidR="00C77558" w:rsidRDefault="006008DB">
            <w:r>
              <w:rPr>
                <w:rFonts w:ascii="Courier New" w:eastAsia="Courier New" w:hAnsi="Courier New" w:cs="Courier New"/>
                <w:color w:val="7A1515"/>
                <w:sz w:val="20"/>
                <w:szCs w:val="20"/>
              </w:rPr>
              <w:t xml:space="preserve">    ↓</w:t>
            </w:r>
          </w:p>
          <w:p w14:paraId="65319B88" w14:textId="77777777" w:rsidR="00C77558" w:rsidRDefault="006008DB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4488"/>
                <w:sz w:val="20"/>
                <w:szCs w:val="20"/>
              </w:rPr>
              <w:t>¿Inicio súbito? ¿Sin fiebre? ¿Sin alteración de conciencia? ¿Sin déficit sensitivo?</w:t>
            </w:r>
          </w:p>
          <w:p w14:paraId="3B28AF30" w14:textId="77777777" w:rsidR="00C77558" w:rsidRDefault="006008DB">
            <w:r>
              <w:rPr>
                <w:rFonts w:ascii="Courier New" w:eastAsia="Courier New" w:hAnsi="Courier New" w:cs="Courier New"/>
                <w:color w:val="7A1515"/>
                <w:sz w:val="20"/>
                <w:szCs w:val="20"/>
              </w:rPr>
              <w:t xml:space="preserve">    ↓</w:t>
            </w:r>
          </w:p>
          <w:p w14:paraId="22D59044" w14:textId="77777777" w:rsidR="00C77558" w:rsidRDefault="006008DB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4488"/>
                <w:sz w:val="20"/>
                <w:szCs w:val="20"/>
              </w:rPr>
              <w:t>¿Distribución PROXIMAL Y SIMÉTRICA? ¿Pares craneales íntegros?</w:t>
            </w:r>
          </w:p>
          <w:p w14:paraId="760C53A5" w14:textId="77777777" w:rsidR="00C77558" w:rsidRDefault="006008DB">
            <w:r>
              <w:rPr>
                <w:rFonts w:ascii="Courier New" w:eastAsia="Courier New" w:hAnsi="Courier New" w:cs="Courier New"/>
                <w:color w:val="7A1515"/>
                <w:sz w:val="20"/>
                <w:szCs w:val="20"/>
              </w:rPr>
              <w:t xml:space="preserve">    ↓</w:t>
            </w:r>
          </w:p>
          <w:p w14:paraId="51F1E411" w14:textId="77777777" w:rsidR="00C77558" w:rsidRDefault="006008DB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4488"/>
                <w:sz w:val="20"/>
                <w:szCs w:val="20"/>
              </w:rPr>
              <w:t>Potasio sérico &lt; 3.0 mEq/</w:t>
            </w:r>
            <w:proofErr w:type="gramStart"/>
            <w:r>
              <w:rPr>
                <w:rFonts w:ascii="Courier New" w:eastAsia="Courier New" w:hAnsi="Courier New" w:cs="Courier New"/>
                <w:color w:val="334488"/>
                <w:sz w:val="20"/>
                <w:szCs w:val="20"/>
              </w:rPr>
              <w:t>L  →</w:t>
            </w:r>
            <w:proofErr w:type="gramEnd"/>
            <w:r>
              <w:rPr>
                <w:rFonts w:ascii="Courier New" w:eastAsia="Courier New" w:hAnsi="Courier New" w:cs="Courier New"/>
                <w:color w:val="334488"/>
                <w:sz w:val="20"/>
                <w:szCs w:val="20"/>
              </w:rPr>
              <w:t xml:space="preserve">  ALTA SOSPECHA </w:t>
            </w:r>
            <w:proofErr w:type="spellStart"/>
            <w:r>
              <w:rPr>
                <w:rFonts w:ascii="Courier New" w:eastAsia="Courier New" w:hAnsi="Courier New" w:cs="Courier New"/>
                <w:color w:val="334488"/>
                <w:sz w:val="20"/>
                <w:szCs w:val="20"/>
              </w:rPr>
              <w:t>HypoPP</w:t>
            </w:r>
            <w:proofErr w:type="spellEnd"/>
          </w:p>
          <w:p w14:paraId="47C73538" w14:textId="77777777" w:rsidR="00C77558" w:rsidRDefault="006008DB">
            <w:r>
              <w:rPr>
                <w:rFonts w:ascii="Courier New" w:eastAsia="Courier New" w:hAnsi="Courier New" w:cs="Courier New"/>
                <w:color w:val="7A1515"/>
                <w:sz w:val="20"/>
                <w:szCs w:val="20"/>
              </w:rPr>
              <w:t xml:space="preserve">    ↓</w:t>
            </w:r>
          </w:p>
          <w:p w14:paraId="40518567" w14:textId="77777777" w:rsidR="00C77558" w:rsidRDefault="006008DB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4488"/>
                <w:sz w:val="20"/>
                <w:szCs w:val="20"/>
              </w:rPr>
              <w:t>¿Episodios previos similares? ¿Historia familiar? ¿Desencadenante identificable?</w:t>
            </w:r>
          </w:p>
          <w:p w14:paraId="12779504" w14:textId="77777777" w:rsidR="00C77558" w:rsidRDefault="006008DB">
            <w:r>
              <w:rPr>
                <w:rFonts w:ascii="Courier New" w:eastAsia="Courier New" w:hAnsi="Courier New" w:cs="Courier New"/>
                <w:color w:val="7A1515"/>
                <w:sz w:val="20"/>
                <w:szCs w:val="20"/>
              </w:rPr>
              <w:t xml:space="preserve">    ↓</w:t>
            </w:r>
          </w:p>
          <w:p w14:paraId="109C70B4" w14:textId="77777777" w:rsidR="00C77558" w:rsidRDefault="006008DB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4488"/>
                <w:sz w:val="20"/>
                <w:szCs w:val="20"/>
              </w:rPr>
              <w:t>ECG inmediato + TSH/T4 + Mg/P + Potasio urinario</w:t>
            </w:r>
          </w:p>
          <w:p w14:paraId="5C9C7059" w14:textId="77777777" w:rsidR="00C77558" w:rsidRDefault="006008DB">
            <w:r>
              <w:rPr>
                <w:rFonts w:ascii="Courier New" w:eastAsia="Courier New" w:hAnsi="Courier New" w:cs="Courier New"/>
                <w:color w:val="7A1515"/>
                <w:sz w:val="20"/>
                <w:szCs w:val="20"/>
              </w:rPr>
              <w:t xml:space="preserve">    ↓</w:t>
            </w:r>
          </w:p>
          <w:p w14:paraId="788EE0B1" w14:textId="77777777" w:rsidR="00C77558" w:rsidRDefault="006008DB">
            <w:pPr>
              <w:spacing w:before="40" w:after="40"/>
            </w:pPr>
            <w:r>
              <w:rPr>
                <w:rFonts w:ascii="Courier New" w:eastAsia="Courier New" w:hAnsi="Courier New" w:cs="Courier New"/>
                <w:color w:val="334488"/>
                <w:sz w:val="20"/>
                <w:szCs w:val="20"/>
              </w:rPr>
              <w:t>Tratar, monitorizar, referir a genética clínica</w:t>
            </w:r>
          </w:p>
        </w:tc>
      </w:tr>
    </w:tbl>
    <w:p w14:paraId="1A43F0BC" w14:textId="77777777" w:rsidR="00C77558" w:rsidRDefault="00C77558">
      <w:pPr>
        <w:spacing w:before="160"/>
      </w:pPr>
    </w:p>
    <w:p w14:paraId="3B770DC0" w14:textId="77777777" w:rsidR="00C77558" w:rsidRDefault="006008DB">
      <w:pPr>
        <w:pStyle w:val="Ttulo2"/>
      </w:pPr>
      <w:r>
        <w:t>ESTUDIOS CLAVE EN URGENCIAS</w:t>
      </w:r>
    </w:p>
    <w:p w14:paraId="61575417" w14:textId="77777777" w:rsidR="00C77558" w:rsidRDefault="00C77558">
      <w:pPr>
        <w:pBdr>
          <w:bottom w:val="single" w:sz="4" w:space="1" w:color="7A1515"/>
        </w:pBdr>
        <w:spacing w:before="120" w:after="120"/>
      </w:pPr>
    </w:p>
    <w:p w14:paraId="6E41F249" w14:textId="77777777" w:rsidR="00C77558" w:rsidRDefault="00C77558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3400"/>
        <w:gridCol w:w="3760"/>
      </w:tblGrid>
      <w:tr w:rsidR="00C77558" w14:paraId="243B782D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D1A0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F8C4FD" w14:textId="77777777" w:rsidR="00C77558" w:rsidRDefault="006008DB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Estudio</w:t>
            </w:r>
          </w:p>
        </w:tc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D1A0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AA2275" w14:textId="77777777" w:rsidR="00C77558" w:rsidRDefault="006008DB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Hallazgo esperado</w:t>
            </w:r>
          </w:p>
        </w:tc>
        <w:tc>
          <w:tcPr>
            <w:tcW w:w="3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D1A0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F8C8C8" w14:textId="77777777" w:rsidR="00C77558" w:rsidRDefault="006008DB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Por qué importa</w:t>
            </w:r>
          </w:p>
        </w:tc>
      </w:tr>
      <w:tr w:rsidR="00C77558" w14:paraId="4D1254F1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7E0FD2" w14:textId="77777777" w:rsidR="00C77558" w:rsidRDefault="006008DB">
            <w:r>
              <w:rPr>
                <w:sz w:val="20"/>
                <w:szCs w:val="20"/>
              </w:rPr>
              <w:t>Potasio sérico</w:t>
            </w:r>
          </w:p>
        </w:tc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31AAFB" w14:textId="77777777" w:rsidR="00C77558" w:rsidRDefault="006008DB">
            <w:r>
              <w:rPr>
                <w:sz w:val="20"/>
                <w:szCs w:val="20"/>
              </w:rPr>
              <w:t>&lt; 3.0 mEq/L (puede ser &lt; 2.0)</w:t>
            </w:r>
          </w:p>
        </w:tc>
        <w:tc>
          <w:tcPr>
            <w:tcW w:w="3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7921CC" w14:textId="77777777" w:rsidR="00C77558" w:rsidRDefault="006008DB">
            <w:r>
              <w:rPr>
                <w:sz w:val="20"/>
                <w:szCs w:val="20"/>
              </w:rPr>
              <w:t>Confirma hipocalemia — primer paso</w:t>
            </w:r>
          </w:p>
        </w:tc>
      </w:tr>
      <w:tr w:rsidR="00C77558" w14:paraId="6AB522A3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51867A" w14:textId="77777777" w:rsidR="00C77558" w:rsidRDefault="006008DB">
            <w:r>
              <w:rPr>
                <w:sz w:val="20"/>
                <w:szCs w:val="20"/>
              </w:rPr>
              <w:lastRenderedPageBreak/>
              <w:t>ECG</w:t>
            </w:r>
          </w:p>
        </w:tc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A0E9DB" w14:textId="77777777" w:rsidR="00C77558" w:rsidRDefault="006008DB">
            <w:r>
              <w:rPr>
                <w:sz w:val="20"/>
                <w:szCs w:val="20"/>
              </w:rPr>
              <w:t>QT prolongado, onda U, aplanamiento T, arritmias</w:t>
            </w:r>
          </w:p>
        </w:tc>
        <w:tc>
          <w:tcPr>
            <w:tcW w:w="3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387A36" w14:textId="77777777" w:rsidR="00C77558" w:rsidRDefault="006008DB">
            <w:r>
              <w:rPr>
                <w:sz w:val="20"/>
                <w:szCs w:val="20"/>
              </w:rPr>
              <w:t>Riesgo vital inmediato — obligatorio antes de cualquier decisión</w:t>
            </w:r>
          </w:p>
        </w:tc>
      </w:tr>
      <w:tr w:rsidR="00C77558" w14:paraId="7663F898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FEA9D2" w14:textId="77777777" w:rsidR="00C77558" w:rsidRDefault="006008DB">
            <w:r>
              <w:rPr>
                <w:sz w:val="20"/>
                <w:szCs w:val="20"/>
              </w:rPr>
              <w:t>Magnesio y fósforo</w:t>
            </w:r>
          </w:p>
        </w:tc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C5B8A0" w14:textId="77777777" w:rsidR="00C77558" w:rsidRDefault="006008DB">
            <w:r>
              <w:rPr>
                <w:sz w:val="20"/>
                <w:szCs w:val="20"/>
              </w:rPr>
              <w:t xml:space="preserve">Pueden estar bajos (más en </w:t>
            </w:r>
            <w:proofErr w:type="spellStart"/>
            <w:r>
              <w:rPr>
                <w:sz w:val="20"/>
                <w:szCs w:val="20"/>
              </w:rPr>
              <w:t>HypoPP</w:t>
            </w:r>
            <w:proofErr w:type="spellEnd"/>
            <w:r>
              <w:rPr>
                <w:sz w:val="20"/>
                <w:szCs w:val="20"/>
              </w:rPr>
              <w:t xml:space="preserve"> que en TPP)</w:t>
            </w:r>
          </w:p>
        </w:tc>
        <w:tc>
          <w:tcPr>
            <w:tcW w:w="3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48BC12" w14:textId="77777777" w:rsidR="00C77558" w:rsidRDefault="006008DB">
            <w:r>
              <w:rPr>
                <w:sz w:val="20"/>
                <w:szCs w:val="20"/>
              </w:rPr>
              <w:t xml:space="preserve">Ayuda a diferenciar </w:t>
            </w:r>
            <w:proofErr w:type="spellStart"/>
            <w:r>
              <w:rPr>
                <w:sz w:val="20"/>
                <w:szCs w:val="20"/>
              </w:rPr>
              <w:t>HypoPP</w:t>
            </w:r>
            <w:proofErr w:type="spellEnd"/>
            <w:r>
              <w:rPr>
                <w:sz w:val="20"/>
                <w:szCs w:val="20"/>
              </w:rPr>
              <w:t xml:space="preserve"> familiar de TPP adquirida</w:t>
            </w:r>
          </w:p>
        </w:tc>
      </w:tr>
      <w:tr w:rsidR="00C77558" w14:paraId="5C465785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44DB5F" w14:textId="77777777" w:rsidR="00C77558" w:rsidRDefault="006008DB">
            <w:r>
              <w:rPr>
                <w:sz w:val="20"/>
                <w:szCs w:val="20"/>
              </w:rPr>
              <w:t>TSH + T4 libre</w:t>
            </w:r>
          </w:p>
        </w:tc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A0CAF8" w14:textId="77777777" w:rsidR="00C77558" w:rsidRDefault="006008DB">
            <w:r>
              <w:rPr>
                <w:sz w:val="20"/>
                <w:szCs w:val="20"/>
              </w:rPr>
              <w:t xml:space="preserve">Normal en </w:t>
            </w:r>
            <w:proofErr w:type="spellStart"/>
            <w:r>
              <w:rPr>
                <w:sz w:val="20"/>
                <w:szCs w:val="20"/>
              </w:rPr>
              <w:t>HypoPP</w:t>
            </w:r>
            <w:proofErr w:type="spellEnd"/>
            <w:r>
              <w:rPr>
                <w:sz w:val="20"/>
                <w:szCs w:val="20"/>
              </w:rPr>
              <w:t xml:space="preserve"> pura; alterada en TPP</w:t>
            </w:r>
          </w:p>
        </w:tc>
        <w:tc>
          <w:tcPr>
            <w:tcW w:w="3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973E86" w14:textId="77777777" w:rsidR="00C77558" w:rsidRDefault="006008DB">
            <w:r>
              <w:rPr>
                <w:sz w:val="20"/>
                <w:szCs w:val="20"/>
              </w:rPr>
              <w:t xml:space="preserve">Excluye causa </w:t>
            </w:r>
            <w:proofErr w:type="spellStart"/>
            <w:r>
              <w:rPr>
                <w:sz w:val="20"/>
                <w:szCs w:val="20"/>
              </w:rPr>
              <w:t>tirotóxica</w:t>
            </w:r>
            <w:proofErr w:type="spellEnd"/>
            <w:r>
              <w:rPr>
                <w:sz w:val="20"/>
                <w:szCs w:val="20"/>
              </w:rPr>
              <w:t xml:space="preserve"> adquirida</w:t>
            </w:r>
          </w:p>
        </w:tc>
      </w:tr>
      <w:tr w:rsidR="00C77558" w14:paraId="14B55E7B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98760A" w14:textId="77777777" w:rsidR="00C77558" w:rsidRDefault="006008DB">
            <w:r>
              <w:rPr>
                <w:sz w:val="20"/>
                <w:szCs w:val="20"/>
              </w:rPr>
              <w:t>Potasio urinario</w:t>
            </w:r>
          </w:p>
        </w:tc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F5269D" w14:textId="77777777" w:rsidR="00C77558" w:rsidRDefault="006008DB">
            <w:r>
              <w:rPr>
                <w:sz w:val="20"/>
                <w:szCs w:val="20"/>
              </w:rPr>
              <w:t>&lt; 20 mEq/L en orina spot</w:t>
            </w:r>
          </w:p>
        </w:tc>
        <w:tc>
          <w:tcPr>
            <w:tcW w:w="3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D72BB9" w14:textId="77777777" w:rsidR="00C77558" w:rsidRDefault="006008DB">
            <w:r>
              <w:rPr>
                <w:sz w:val="20"/>
                <w:szCs w:val="20"/>
              </w:rPr>
              <w:t>Confirma redistribución intracelular (no pérdida renal)</w:t>
            </w:r>
          </w:p>
        </w:tc>
      </w:tr>
      <w:tr w:rsidR="00C77558" w14:paraId="3177E04F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F65B58" w14:textId="77777777" w:rsidR="00C77558" w:rsidRDefault="006008DB">
            <w:r>
              <w:rPr>
                <w:sz w:val="20"/>
                <w:szCs w:val="20"/>
              </w:rPr>
              <w:t>Gasometría arterial</w:t>
            </w:r>
          </w:p>
        </w:tc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1AFD75" w14:textId="77777777" w:rsidR="00C77558" w:rsidRDefault="006008DB">
            <w:r>
              <w:rPr>
                <w:sz w:val="20"/>
                <w:szCs w:val="20"/>
              </w:rPr>
              <w:t>Sin acidosis metabólica severa</w:t>
            </w:r>
          </w:p>
        </w:tc>
        <w:tc>
          <w:tcPr>
            <w:tcW w:w="3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7A5E13" w14:textId="77777777" w:rsidR="00C77558" w:rsidRDefault="006008DB">
            <w:r>
              <w:rPr>
                <w:sz w:val="20"/>
                <w:szCs w:val="20"/>
              </w:rPr>
              <w:t>Diferencia de hipocalemia por pérdidas GI o renales</w:t>
            </w:r>
          </w:p>
        </w:tc>
      </w:tr>
      <w:tr w:rsidR="00C77558" w14:paraId="1F95AC16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E515A2" w14:textId="77777777" w:rsidR="00C77558" w:rsidRDefault="006008DB">
            <w:r>
              <w:rPr>
                <w:sz w:val="20"/>
                <w:szCs w:val="20"/>
              </w:rPr>
              <w:t>CPK</w:t>
            </w:r>
          </w:p>
        </w:tc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7BC703" w14:textId="77777777" w:rsidR="00C77558" w:rsidRDefault="006008DB">
            <w:r>
              <w:rPr>
                <w:sz w:val="20"/>
                <w:szCs w:val="20"/>
              </w:rPr>
              <w:t>Normal o levemente elevada</w:t>
            </w:r>
          </w:p>
        </w:tc>
        <w:tc>
          <w:tcPr>
            <w:tcW w:w="3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8E8BCA" w14:textId="77777777" w:rsidR="00C77558" w:rsidRDefault="006008DB">
            <w:r>
              <w:rPr>
                <w:sz w:val="20"/>
                <w:szCs w:val="20"/>
              </w:rPr>
              <w:t>Descarta rabdomiólisis primaria</w:t>
            </w:r>
          </w:p>
        </w:tc>
      </w:tr>
      <w:tr w:rsidR="00C77558" w14:paraId="21FF0D93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F78A74" w14:textId="77777777" w:rsidR="00C77558" w:rsidRDefault="006008DB">
            <w:r>
              <w:rPr>
                <w:sz w:val="20"/>
                <w:szCs w:val="20"/>
              </w:rPr>
              <w:t>Test genético</w:t>
            </w:r>
          </w:p>
        </w:tc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876266" w14:textId="77777777" w:rsidR="00C77558" w:rsidRDefault="006008DB">
            <w:r>
              <w:rPr>
                <w:sz w:val="20"/>
                <w:szCs w:val="20"/>
              </w:rPr>
              <w:t>Mutación CACNA1S / SCN4A</w:t>
            </w:r>
          </w:p>
        </w:tc>
        <w:tc>
          <w:tcPr>
            <w:tcW w:w="3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D6D03A" w14:textId="77777777" w:rsidR="00C77558" w:rsidRDefault="006008DB">
            <w:r>
              <w:rPr>
                <w:sz w:val="20"/>
                <w:szCs w:val="20"/>
              </w:rPr>
              <w:t>Diagnóstico definitivo — no urgente, indicado al alta</w:t>
            </w:r>
          </w:p>
        </w:tc>
      </w:tr>
    </w:tbl>
    <w:p w14:paraId="50B88556" w14:textId="77777777" w:rsidR="00C77558" w:rsidRDefault="00C77558">
      <w:pPr>
        <w:spacing w:before="160"/>
      </w:pPr>
    </w:p>
    <w:p w14:paraId="51E01247" w14:textId="77777777" w:rsidR="00C77558" w:rsidRDefault="006008DB">
      <w:pPr>
        <w:pStyle w:val="Ttulo2"/>
      </w:pPr>
      <w:r>
        <w:t>TRATAMIENTO EN URGENCIAS</w:t>
      </w:r>
    </w:p>
    <w:p w14:paraId="1C2A0610" w14:textId="77777777" w:rsidR="00C77558" w:rsidRDefault="00C77558">
      <w:pPr>
        <w:pBdr>
          <w:bottom w:val="single" w:sz="4" w:space="1" w:color="7A1515"/>
        </w:pBdr>
        <w:spacing w:before="120" w:after="120"/>
      </w:pPr>
    </w:p>
    <w:p w14:paraId="1337463E" w14:textId="77777777" w:rsidR="00C77558" w:rsidRDefault="00C77558">
      <w:pPr>
        <w:spacing w:before="80"/>
      </w:pPr>
    </w:p>
    <w:p w14:paraId="4A8E755D" w14:textId="77777777" w:rsidR="00C77558" w:rsidRDefault="006008DB">
      <w:pPr>
        <w:spacing w:before="80" w:after="80"/>
        <w:jc w:val="both"/>
      </w:pPr>
      <w:r>
        <w:t xml:space="preserve">El punto más contraintuitivo del manejo es este: la hipocalemia en </w:t>
      </w:r>
      <w:proofErr w:type="spellStart"/>
      <w:r>
        <w:t>HypoPP</w:t>
      </w:r>
      <w:proofErr w:type="spellEnd"/>
      <w:r>
        <w:t xml:space="preserve"> NO refleja déficit corporal total de potasio. El K⁺ está secuestrado dentro de las células musculares. Corregir agresivamente puede producir un rebote </w:t>
      </w:r>
      <w:proofErr w:type="spellStart"/>
      <w:r>
        <w:t>hipercalémico</w:t>
      </w:r>
      <w:proofErr w:type="spellEnd"/>
      <w:r>
        <w:t xml:space="preserve"> peligroso cuando </w:t>
      </w:r>
      <w:r>
        <w:t>el episodio cede espontáneamente y el potasio regresa al espacio extracelular.</w:t>
      </w:r>
    </w:p>
    <w:p w14:paraId="56395D81" w14:textId="77777777" w:rsidR="00C77558" w:rsidRDefault="00C77558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C77558" w14:paraId="2F9880F3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F8EE"/>
            <w:tcMar>
              <w:top w:w="80" w:type="dxa"/>
              <w:left w:w="160" w:type="dxa"/>
              <w:bottom w:w="40" w:type="dxa"/>
              <w:right w:w="160" w:type="dxa"/>
            </w:tcMar>
          </w:tcPr>
          <w:p w14:paraId="71C50D34" w14:textId="77777777" w:rsidR="00C77558" w:rsidRDefault="006008DB">
            <w:r>
              <w:rPr>
                <w:rFonts w:ascii="Arial" w:eastAsia="Arial" w:hAnsi="Arial" w:cs="Arial"/>
                <w:b/>
                <w:bCs/>
                <w:color w:val="8B6914"/>
                <w:sz w:val="18"/>
                <w:szCs w:val="18"/>
              </w:rPr>
              <w:t>⚔</w:t>
            </w:r>
            <w:r>
              <w:rPr>
                <w:rFonts w:ascii="Arial" w:eastAsia="Arial" w:hAnsi="Arial" w:cs="Arial"/>
                <w:b/>
                <w:bCs/>
                <w:color w:val="8B6914"/>
                <w:sz w:val="18"/>
                <w:szCs w:val="18"/>
              </w:rPr>
              <w:t xml:space="preserve"> PERLA DE COMBATE — Reposición de potasio</w:t>
            </w:r>
          </w:p>
        </w:tc>
      </w:tr>
      <w:tr w:rsidR="00C77558" w14:paraId="3C777C2E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F8EE"/>
            <w:tcMar>
              <w:top w:w="40" w:type="dxa"/>
              <w:left w:w="160" w:type="dxa"/>
              <w:bottom w:w="100" w:type="dxa"/>
              <w:right w:w="160" w:type="dxa"/>
            </w:tcMar>
          </w:tcPr>
          <w:p w14:paraId="0897A3E7" w14:textId="77777777" w:rsidR="00C77558" w:rsidRDefault="006008DB">
            <w:pPr>
              <w:jc w:val="both"/>
            </w:pPr>
            <w:r>
              <w:rPr>
                <w:sz w:val="21"/>
                <w:szCs w:val="21"/>
              </w:rPr>
              <w:t>Cloruro de potasio IV a 10–20 mEq/hora con monitorización electrocardiográfica continua. Dosis total habitual: 40–100 mEq. Controlar</w:t>
            </w:r>
            <w:r>
              <w:rPr>
                <w:sz w:val="21"/>
                <w:szCs w:val="21"/>
              </w:rPr>
              <w:t xml:space="preserve"> potasio sérico cada 1–2 horas. En casos leves o moderados, preferir vía ORAL para reducir el riesgo de rebote. Evitar soluciones glucosadas — la insulina endógena empeora el desplazamiento intracelular de K⁺.</w:t>
            </w:r>
          </w:p>
        </w:tc>
      </w:tr>
    </w:tbl>
    <w:p w14:paraId="4EE3D171" w14:textId="77777777" w:rsidR="00C77558" w:rsidRDefault="00C77558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C77558" w14:paraId="74B9BC85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F0F0"/>
            <w:tcMar>
              <w:top w:w="80" w:type="dxa"/>
              <w:left w:w="160" w:type="dxa"/>
              <w:bottom w:w="40" w:type="dxa"/>
              <w:right w:w="160" w:type="dxa"/>
            </w:tcMar>
          </w:tcPr>
          <w:p w14:paraId="14E6C900" w14:textId="77777777" w:rsidR="00C77558" w:rsidRDefault="006008DB">
            <w:r>
              <w:rPr>
                <w:rFonts w:ascii="Arial" w:eastAsia="Arial" w:hAnsi="Arial" w:cs="Arial"/>
                <w:b/>
                <w:bCs/>
                <w:color w:val="7A1515"/>
                <w:sz w:val="18"/>
                <w:szCs w:val="18"/>
              </w:rPr>
              <w:t>⚠</w:t>
            </w:r>
            <w:r>
              <w:rPr>
                <w:rFonts w:ascii="Arial" w:eastAsia="Arial" w:hAnsi="Arial" w:cs="Arial"/>
                <w:b/>
                <w:bCs/>
                <w:color w:val="7A1515"/>
                <w:sz w:val="18"/>
                <w:szCs w:val="18"/>
              </w:rPr>
              <w:t xml:space="preserve"> RIESGO DE REBOTE HIPERCALÉMICO</w:t>
            </w:r>
          </w:p>
        </w:tc>
      </w:tr>
      <w:tr w:rsidR="00C77558" w14:paraId="60B8CCC2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F0F0"/>
            <w:tcMar>
              <w:top w:w="40" w:type="dxa"/>
              <w:left w:w="160" w:type="dxa"/>
              <w:bottom w:w="100" w:type="dxa"/>
              <w:right w:w="160" w:type="dxa"/>
            </w:tcMar>
          </w:tcPr>
          <w:p w14:paraId="14822B03" w14:textId="77777777" w:rsidR="00C77558" w:rsidRDefault="006008DB">
            <w:pPr>
              <w:jc w:val="both"/>
            </w:pPr>
            <w:r>
              <w:rPr>
                <w:sz w:val="21"/>
                <w:szCs w:val="21"/>
              </w:rPr>
              <w:t xml:space="preserve">Al corregir el episodio desencadenante, el potasio retorna al extracelular. Si se ha repuesto en exceso, puede producirse </w:t>
            </w:r>
            <w:proofErr w:type="spellStart"/>
            <w:r>
              <w:rPr>
                <w:sz w:val="21"/>
                <w:szCs w:val="21"/>
              </w:rPr>
              <w:t>hipercalemia</w:t>
            </w:r>
            <w:proofErr w:type="spellEnd"/>
            <w:r>
              <w:rPr>
                <w:sz w:val="21"/>
                <w:szCs w:val="21"/>
              </w:rPr>
              <w:t xml:space="preserve"> de rebote. Monitoriza K⁺ sérico de forma seriada y no </w:t>
            </w:r>
            <w:proofErr w:type="spellStart"/>
            <w:r>
              <w:rPr>
                <w:sz w:val="21"/>
                <w:szCs w:val="21"/>
              </w:rPr>
              <w:t>sobretratar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</w:tr>
    </w:tbl>
    <w:p w14:paraId="2C9410EF" w14:textId="77777777" w:rsidR="00C77558" w:rsidRDefault="00C77558">
      <w:pPr>
        <w:spacing w:before="120"/>
      </w:pPr>
    </w:p>
    <w:p w14:paraId="475A6E3A" w14:textId="77777777" w:rsidR="00C77558" w:rsidRDefault="006008DB">
      <w:pPr>
        <w:spacing w:before="80" w:after="80"/>
        <w:jc w:val="both"/>
      </w:pPr>
      <w:r>
        <w:t xml:space="preserve">En la </w:t>
      </w:r>
      <w:proofErr w:type="spellStart"/>
      <w:r>
        <w:t>HypoPP</w:t>
      </w:r>
      <w:proofErr w:type="spellEnd"/>
      <w:r>
        <w:t xml:space="preserve"> superpuesta a tirotoxicosis (TPP): añad</w:t>
      </w:r>
      <w:r>
        <w:t xml:space="preserve">ir </w:t>
      </w:r>
      <w:proofErr w:type="spellStart"/>
      <w:r>
        <w:t>propranolol</w:t>
      </w:r>
      <w:proofErr w:type="spellEnd"/>
      <w:r>
        <w:t xml:space="preserve"> no selectivo (40–80 mg VO). Inhibe la actividad de la </w:t>
      </w:r>
      <w:proofErr w:type="spellStart"/>
      <w:r>
        <w:t>Na</w:t>
      </w:r>
      <w:proofErr w:type="spellEnd"/>
      <w:r>
        <w:t>-K ATPasa mediada por hormonas tiroideas y puede abortar o acortar el episodio.</w:t>
      </w:r>
    </w:p>
    <w:p w14:paraId="734372E5" w14:textId="77777777" w:rsidR="00C77558" w:rsidRDefault="00C77558">
      <w:pPr>
        <w:spacing w:before="80"/>
      </w:pPr>
    </w:p>
    <w:p w14:paraId="7D9BB47F" w14:textId="77777777" w:rsidR="00C77558" w:rsidRDefault="006008DB">
      <w:pPr>
        <w:spacing w:before="100" w:after="80"/>
      </w:pPr>
      <w:r>
        <w:rPr>
          <w:b/>
          <w:bCs/>
        </w:rPr>
        <w:t>Mantenimiento (para el alta y seguimiento):</w:t>
      </w:r>
    </w:p>
    <w:p w14:paraId="59686F56" w14:textId="77777777" w:rsidR="00C77558" w:rsidRDefault="006008DB">
      <w:pPr>
        <w:pStyle w:val="Prrafodelista"/>
        <w:numPr>
          <w:ilvl w:val="0"/>
          <w:numId w:val="2"/>
        </w:numPr>
        <w:spacing w:before="60" w:after="60"/>
      </w:pPr>
      <w:r>
        <w:t>Acetazolamida (inhibidor de anhidrasa carbónica): primera lí</w:t>
      </w:r>
      <w:r>
        <w:t>nea en Tipo 1 (CACNA1S). Menos eficaz en Tipo 2 (SCN4A).</w:t>
      </w:r>
    </w:p>
    <w:p w14:paraId="1684122F" w14:textId="77777777" w:rsidR="00C77558" w:rsidRDefault="006008DB">
      <w:pPr>
        <w:pStyle w:val="Prrafodelista"/>
        <w:numPr>
          <w:ilvl w:val="0"/>
          <w:numId w:val="2"/>
        </w:numPr>
        <w:spacing w:before="60" w:after="60"/>
      </w:pPr>
      <w:proofErr w:type="spellStart"/>
      <w:r>
        <w:lastRenderedPageBreak/>
        <w:t>Diclorfenamida</w:t>
      </w:r>
      <w:proofErr w:type="spellEnd"/>
      <w:r>
        <w:t>: alternativa cuando no hay respuesta a acetazolamida.</w:t>
      </w:r>
    </w:p>
    <w:p w14:paraId="63BA43AE" w14:textId="77777777" w:rsidR="00C77558" w:rsidRDefault="006008DB">
      <w:pPr>
        <w:pStyle w:val="Prrafodelista"/>
        <w:numPr>
          <w:ilvl w:val="0"/>
          <w:numId w:val="2"/>
        </w:numPr>
        <w:spacing w:before="60" w:after="60"/>
      </w:pPr>
      <w:r>
        <w:t>Dieta baja en carbohidratos y sodio, rica en potasio.</w:t>
      </w:r>
    </w:p>
    <w:p w14:paraId="7BC3434C" w14:textId="77777777" w:rsidR="00C77558" w:rsidRDefault="006008DB">
      <w:pPr>
        <w:pStyle w:val="Prrafodelista"/>
        <w:numPr>
          <w:ilvl w:val="0"/>
          <w:numId w:val="2"/>
        </w:numPr>
        <w:spacing w:before="60" w:after="60"/>
      </w:pPr>
      <w:r>
        <w:t>Evitar desencadenantes identificados. Referir a neurología y genética clínica.</w:t>
      </w:r>
    </w:p>
    <w:p w14:paraId="0CF9B9B1" w14:textId="77777777" w:rsidR="00C77558" w:rsidRDefault="00C77558">
      <w:pPr>
        <w:spacing w:before="160"/>
      </w:pPr>
    </w:p>
    <w:p w14:paraId="6355712C" w14:textId="77777777" w:rsidR="00C77558" w:rsidRDefault="006008DB">
      <w:pPr>
        <w:pStyle w:val="Ttulo2"/>
      </w:pPr>
      <w:r>
        <w:t>HYPOPP FAMILIAR VS TPP ADQUIRIDA</w:t>
      </w:r>
    </w:p>
    <w:p w14:paraId="5FE395D3" w14:textId="77777777" w:rsidR="00C77558" w:rsidRDefault="00C77558">
      <w:pPr>
        <w:pBdr>
          <w:bottom w:val="single" w:sz="4" w:space="1" w:color="7A1515"/>
        </w:pBdr>
        <w:spacing w:before="120" w:after="120"/>
      </w:pPr>
    </w:p>
    <w:p w14:paraId="38F7AE9F" w14:textId="77777777" w:rsidR="00C77558" w:rsidRDefault="00C77558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3080"/>
        <w:gridCol w:w="3080"/>
      </w:tblGrid>
      <w:tr w:rsidR="00C77558" w14:paraId="4D278E9F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D1A0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F2E3FB" w14:textId="77777777" w:rsidR="00C77558" w:rsidRDefault="006008DB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Característica</w:t>
            </w:r>
          </w:p>
        </w:tc>
        <w:tc>
          <w:tcPr>
            <w:tcW w:w="3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D1A0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20BBF8" w14:textId="77777777" w:rsidR="00C77558" w:rsidRDefault="006008DB"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HypoPP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 xml:space="preserve"> Familiar</w:t>
            </w:r>
          </w:p>
        </w:tc>
        <w:tc>
          <w:tcPr>
            <w:tcW w:w="3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D1A0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D8043D" w14:textId="77777777" w:rsidR="00C77558" w:rsidRDefault="006008DB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TPP Adquirida</w:t>
            </w:r>
          </w:p>
        </w:tc>
      </w:tr>
      <w:tr w:rsidR="00C77558" w14:paraId="23B41B5C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974A59" w14:textId="77777777" w:rsidR="00C77558" w:rsidRDefault="006008DB">
            <w:r>
              <w:rPr>
                <w:sz w:val="20"/>
                <w:szCs w:val="20"/>
              </w:rPr>
              <w:t>Historia familiar</w:t>
            </w:r>
          </w:p>
        </w:tc>
        <w:tc>
          <w:tcPr>
            <w:tcW w:w="3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0BF0FB" w14:textId="77777777" w:rsidR="00C77558" w:rsidRDefault="006008DB">
            <w:r>
              <w:rPr>
                <w:sz w:val="20"/>
                <w:szCs w:val="20"/>
              </w:rPr>
              <w:t>✓</w:t>
            </w:r>
            <w:r>
              <w:rPr>
                <w:sz w:val="20"/>
                <w:szCs w:val="20"/>
              </w:rPr>
              <w:t xml:space="preserve"> Frecuente</w:t>
            </w:r>
          </w:p>
        </w:tc>
        <w:tc>
          <w:tcPr>
            <w:tcW w:w="3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288CF2" w14:textId="77777777" w:rsidR="00C77558" w:rsidRDefault="006008DB">
            <w:r>
              <w:rPr>
                <w:sz w:val="20"/>
                <w:szCs w:val="20"/>
              </w:rPr>
              <w:t>✗</w:t>
            </w:r>
            <w:r>
              <w:rPr>
                <w:sz w:val="20"/>
                <w:szCs w:val="20"/>
              </w:rPr>
              <w:t xml:space="preserve"> Generalmente ausente</w:t>
            </w:r>
          </w:p>
        </w:tc>
      </w:tr>
      <w:tr w:rsidR="00C77558" w14:paraId="3ECF555C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8A68D2" w14:textId="77777777" w:rsidR="00C77558" w:rsidRDefault="006008DB">
            <w:r>
              <w:rPr>
                <w:sz w:val="20"/>
                <w:szCs w:val="20"/>
              </w:rPr>
              <w:t>Función tiroidea</w:t>
            </w:r>
          </w:p>
        </w:tc>
        <w:tc>
          <w:tcPr>
            <w:tcW w:w="3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E4164F" w14:textId="77777777" w:rsidR="00C77558" w:rsidRDefault="006008DB">
            <w:r>
              <w:rPr>
                <w:sz w:val="20"/>
                <w:szCs w:val="20"/>
              </w:rPr>
              <w:t>Normal</w:t>
            </w:r>
          </w:p>
        </w:tc>
        <w:tc>
          <w:tcPr>
            <w:tcW w:w="3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389C41" w14:textId="77777777" w:rsidR="00C77558" w:rsidRDefault="006008DB">
            <w:r>
              <w:rPr>
                <w:sz w:val="20"/>
                <w:szCs w:val="20"/>
              </w:rPr>
              <w:t>Alterada (↑ T3/T4, ↓ TSH)</w:t>
            </w:r>
          </w:p>
        </w:tc>
      </w:tr>
      <w:tr w:rsidR="00C77558" w14:paraId="04571D98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0A8BE8" w14:textId="77777777" w:rsidR="00C77558" w:rsidRDefault="006008DB">
            <w:r>
              <w:rPr>
                <w:sz w:val="20"/>
                <w:szCs w:val="20"/>
              </w:rPr>
              <w:t>Etnia predominante</w:t>
            </w:r>
          </w:p>
        </w:tc>
        <w:tc>
          <w:tcPr>
            <w:tcW w:w="3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A602D2" w14:textId="77777777" w:rsidR="00C77558" w:rsidRDefault="006008DB">
            <w:r>
              <w:rPr>
                <w:sz w:val="20"/>
                <w:szCs w:val="20"/>
              </w:rPr>
              <w:t>Cualquiera</w:t>
            </w:r>
          </w:p>
        </w:tc>
        <w:tc>
          <w:tcPr>
            <w:tcW w:w="3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C70D54" w14:textId="77777777" w:rsidR="00C77558" w:rsidRDefault="006008DB">
            <w:r>
              <w:rPr>
                <w:sz w:val="20"/>
                <w:szCs w:val="20"/>
              </w:rPr>
              <w:t>Varones asiáticos (KCNJ18)</w:t>
            </w:r>
          </w:p>
        </w:tc>
      </w:tr>
      <w:tr w:rsidR="00C77558" w14:paraId="0D5C9A10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170E09" w14:textId="77777777" w:rsidR="00C77558" w:rsidRDefault="006008DB">
            <w:r>
              <w:rPr>
                <w:sz w:val="20"/>
                <w:szCs w:val="20"/>
              </w:rPr>
              <w:t>Gen implicado</w:t>
            </w:r>
          </w:p>
        </w:tc>
        <w:tc>
          <w:tcPr>
            <w:tcW w:w="3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82437E" w14:textId="77777777" w:rsidR="00C77558" w:rsidRDefault="006008DB">
            <w:r>
              <w:rPr>
                <w:sz w:val="20"/>
                <w:szCs w:val="20"/>
              </w:rPr>
              <w:t>CACNA1S / SCN4A</w:t>
            </w:r>
          </w:p>
        </w:tc>
        <w:tc>
          <w:tcPr>
            <w:tcW w:w="3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63F28B" w14:textId="77777777" w:rsidR="00C77558" w:rsidRDefault="006008DB">
            <w:r>
              <w:rPr>
                <w:sz w:val="20"/>
                <w:szCs w:val="20"/>
              </w:rPr>
              <w:t>KCNJ18 (Kir2.6) — adquirido</w:t>
            </w:r>
          </w:p>
        </w:tc>
      </w:tr>
      <w:tr w:rsidR="00C77558" w14:paraId="286AA079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8F09F1" w14:textId="77777777" w:rsidR="00C77558" w:rsidRDefault="006008DB">
            <w:r>
              <w:rPr>
                <w:sz w:val="20"/>
                <w:szCs w:val="20"/>
              </w:rPr>
              <w:t>Recurrencia sin tirotoxicosis</w:t>
            </w:r>
          </w:p>
        </w:tc>
        <w:tc>
          <w:tcPr>
            <w:tcW w:w="3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7D29E1" w14:textId="77777777" w:rsidR="00C77558" w:rsidRDefault="006008DB">
            <w:r>
              <w:rPr>
                <w:sz w:val="20"/>
                <w:szCs w:val="20"/>
              </w:rPr>
              <w:t>✓</w:t>
            </w:r>
            <w:r>
              <w:rPr>
                <w:sz w:val="20"/>
                <w:szCs w:val="20"/>
              </w:rPr>
              <w:t xml:space="preserve"> Sí</w:t>
            </w:r>
          </w:p>
        </w:tc>
        <w:tc>
          <w:tcPr>
            <w:tcW w:w="3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BC99F1" w14:textId="77777777" w:rsidR="00C77558" w:rsidRDefault="006008DB">
            <w:r>
              <w:rPr>
                <w:sz w:val="20"/>
                <w:szCs w:val="20"/>
              </w:rPr>
              <w:t>✗</w:t>
            </w:r>
            <w:r>
              <w:rPr>
                <w:sz w:val="20"/>
                <w:szCs w:val="20"/>
              </w:rPr>
              <w:t xml:space="preserve"> No (resuelve con </w:t>
            </w:r>
            <w:proofErr w:type="spellStart"/>
            <w:r>
              <w:rPr>
                <w:sz w:val="20"/>
                <w:szCs w:val="20"/>
              </w:rPr>
              <w:t>eutiroidismo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C77558" w14:paraId="0CAE9F3C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9B0758" w14:textId="77777777" w:rsidR="00C77558" w:rsidRDefault="006008DB">
            <w:r>
              <w:rPr>
                <w:sz w:val="20"/>
                <w:szCs w:val="20"/>
              </w:rPr>
              <w:t>Hipofosfatemia / hipomagnesemia</w:t>
            </w:r>
          </w:p>
        </w:tc>
        <w:tc>
          <w:tcPr>
            <w:tcW w:w="3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757616" w14:textId="77777777" w:rsidR="00C77558" w:rsidRDefault="006008DB">
            <w:r>
              <w:rPr>
                <w:sz w:val="20"/>
                <w:szCs w:val="20"/>
              </w:rPr>
              <w:t>Más frecuente</w:t>
            </w:r>
          </w:p>
        </w:tc>
        <w:tc>
          <w:tcPr>
            <w:tcW w:w="3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400FE5" w14:textId="77777777" w:rsidR="00C77558" w:rsidRDefault="006008DB">
            <w:r>
              <w:rPr>
                <w:sz w:val="20"/>
                <w:szCs w:val="20"/>
              </w:rPr>
              <w:t>Menos frecuente</w:t>
            </w:r>
          </w:p>
        </w:tc>
      </w:tr>
      <w:tr w:rsidR="00C77558" w14:paraId="2B860122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1F6883" w14:textId="77777777" w:rsidR="00C77558" w:rsidRDefault="006008DB">
            <w:r>
              <w:rPr>
                <w:sz w:val="20"/>
                <w:szCs w:val="20"/>
              </w:rPr>
              <w:t>Test genético diagnóstico</w:t>
            </w:r>
          </w:p>
        </w:tc>
        <w:tc>
          <w:tcPr>
            <w:tcW w:w="3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F92768" w14:textId="77777777" w:rsidR="00C77558" w:rsidRDefault="006008DB">
            <w:r>
              <w:rPr>
                <w:sz w:val="20"/>
                <w:szCs w:val="20"/>
              </w:rPr>
              <w:t>✓</w:t>
            </w:r>
            <w:r>
              <w:rPr>
                <w:sz w:val="20"/>
                <w:szCs w:val="20"/>
              </w:rPr>
              <w:t xml:space="preserve"> Confirma</w:t>
            </w:r>
          </w:p>
        </w:tc>
        <w:tc>
          <w:tcPr>
            <w:tcW w:w="3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699500" w14:textId="77777777" w:rsidR="00C77558" w:rsidRDefault="006008DB">
            <w:r>
              <w:rPr>
                <w:sz w:val="20"/>
                <w:szCs w:val="20"/>
              </w:rPr>
              <w:t>Puede ser negativo</w:t>
            </w:r>
          </w:p>
        </w:tc>
      </w:tr>
    </w:tbl>
    <w:p w14:paraId="4EE650EA" w14:textId="77777777" w:rsidR="00C77558" w:rsidRDefault="00C77558">
      <w:pPr>
        <w:spacing w:before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C77558" w14:paraId="44026AD5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2" w:space="0" w:color="8B6914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BF6E8"/>
            <w:tcMar>
              <w:top w:w="160" w:type="dxa"/>
              <w:left w:w="200" w:type="dxa"/>
              <w:bottom w:w="80" w:type="dxa"/>
              <w:right w:w="200" w:type="dxa"/>
            </w:tcMar>
          </w:tcPr>
          <w:p w14:paraId="74BAF97F" w14:textId="77777777" w:rsidR="00C77558" w:rsidRDefault="006008DB">
            <w:proofErr w:type="gramStart"/>
            <w:r>
              <w:rPr>
                <w:rFonts w:ascii="Arial" w:eastAsia="Arial" w:hAnsi="Arial" w:cs="Arial"/>
                <w:b/>
                <w:bCs/>
                <w:color w:val="8B6914"/>
              </w:rPr>
              <w:t>◆  LAS</w:t>
            </w:r>
            <w:proofErr w:type="gramEnd"/>
            <w:r>
              <w:rPr>
                <w:rFonts w:ascii="Arial" w:eastAsia="Arial" w:hAnsi="Arial" w:cs="Arial"/>
                <w:b/>
                <w:bCs/>
                <w:color w:val="8B6914"/>
              </w:rPr>
              <w:t xml:space="preserve"> 5 PERLAS DEL EMERGENCIÓLOGO</w:t>
            </w:r>
          </w:p>
        </w:tc>
      </w:tr>
      <w:tr w:rsidR="00C77558" w14:paraId="07158F9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2" w:space="0" w:color="8B6914"/>
              <w:right w:val="none" w:sz="0" w:space="0" w:color="FFFFFF"/>
            </w:tcBorders>
            <w:shd w:val="clear" w:color="auto" w:fill="FBF6E8"/>
            <w:tcMar>
              <w:top w:w="40" w:type="dxa"/>
              <w:left w:w="200" w:type="dxa"/>
              <w:bottom w:w="200" w:type="dxa"/>
              <w:right w:w="200" w:type="dxa"/>
            </w:tcMar>
          </w:tcPr>
          <w:p w14:paraId="2BC94439" w14:textId="77777777" w:rsidR="00C77558" w:rsidRDefault="006008DB">
            <w:pPr>
              <w:pStyle w:val="Prrafodelista"/>
              <w:numPr>
                <w:ilvl w:val="0"/>
                <w:numId w:val="2"/>
              </w:numPr>
              <w:spacing w:before="80" w:after="80"/>
            </w:pPr>
            <w:r>
              <w:rPr>
                <w:b/>
                <w:bCs/>
                <w:color w:val="7A1515"/>
                <w:sz w:val="21"/>
                <w:szCs w:val="21"/>
              </w:rPr>
              <w:t xml:space="preserve">Joven + debilidad flácida aguda + hipocalemia = </w:t>
            </w:r>
            <w:proofErr w:type="spellStart"/>
            <w:r>
              <w:rPr>
                <w:b/>
                <w:bCs/>
                <w:color w:val="7A1515"/>
                <w:sz w:val="21"/>
                <w:szCs w:val="21"/>
              </w:rPr>
              <w:t>HypoPP</w:t>
            </w:r>
            <w:proofErr w:type="spellEnd"/>
            <w:r>
              <w:rPr>
                <w:b/>
                <w:bCs/>
                <w:color w:val="7A1515"/>
                <w:sz w:val="21"/>
                <w:szCs w:val="21"/>
              </w:rPr>
              <w:t xml:space="preserve"> hasta demostrar lo contrario. </w:t>
            </w:r>
            <w:r>
              <w:rPr>
                <w:sz w:val="21"/>
                <w:szCs w:val="21"/>
              </w:rPr>
              <w:t>No es Guillain-Barré, no es ictus, no es crisis conversiva.</w:t>
            </w:r>
          </w:p>
          <w:p w14:paraId="634B0630" w14:textId="77777777" w:rsidR="00C77558" w:rsidRDefault="006008DB">
            <w:pPr>
              <w:pStyle w:val="Prrafodelista"/>
              <w:numPr>
                <w:ilvl w:val="0"/>
                <w:numId w:val="2"/>
              </w:numPr>
              <w:spacing w:before="80" w:after="80"/>
            </w:pPr>
            <w:r>
              <w:rPr>
                <w:b/>
                <w:bCs/>
                <w:color w:val="7A1515"/>
                <w:sz w:val="21"/>
                <w:szCs w:val="21"/>
              </w:rPr>
              <w:t xml:space="preserve">ECG inmediato. </w:t>
            </w:r>
            <w:r>
              <w:rPr>
                <w:sz w:val="21"/>
                <w:szCs w:val="21"/>
              </w:rPr>
              <w:t>El QT largo y la fibrilación ventricular matan antes que la parálisis. No tomes decisiones sin ver el trazado.</w:t>
            </w:r>
          </w:p>
          <w:p w14:paraId="50394437" w14:textId="77777777" w:rsidR="00C77558" w:rsidRDefault="006008DB">
            <w:pPr>
              <w:pStyle w:val="Prrafodelista"/>
              <w:numPr>
                <w:ilvl w:val="0"/>
                <w:numId w:val="2"/>
              </w:numPr>
              <w:spacing w:before="80" w:after="80"/>
            </w:pPr>
            <w:r>
              <w:rPr>
                <w:b/>
                <w:bCs/>
                <w:color w:val="7A1515"/>
                <w:sz w:val="21"/>
                <w:szCs w:val="21"/>
              </w:rPr>
              <w:t xml:space="preserve">La hipocalemia es redistribución, no pérdida. </w:t>
            </w:r>
            <w:r>
              <w:rPr>
                <w:sz w:val="21"/>
                <w:szCs w:val="21"/>
              </w:rPr>
              <w:t>Corrige lento (10–20 mEq/h), monitoriza el rebote, y nunca uses soluciones glucosadas.</w:t>
            </w:r>
          </w:p>
          <w:p w14:paraId="3FFAD795" w14:textId="77777777" w:rsidR="00C77558" w:rsidRDefault="006008DB">
            <w:pPr>
              <w:pStyle w:val="Prrafodelista"/>
              <w:numPr>
                <w:ilvl w:val="0"/>
                <w:numId w:val="2"/>
              </w:numPr>
              <w:spacing w:before="80" w:after="80"/>
            </w:pPr>
            <w:r>
              <w:rPr>
                <w:b/>
                <w:bCs/>
                <w:color w:val="7A1515"/>
                <w:sz w:val="21"/>
                <w:szCs w:val="21"/>
              </w:rPr>
              <w:t>Pide TSH y T</w:t>
            </w:r>
            <w:r>
              <w:rPr>
                <w:b/>
                <w:bCs/>
                <w:color w:val="7A1515"/>
                <w:sz w:val="21"/>
                <w:szCs w:val="21"/>
              </w:rPr>
              <w:t xml:space="preserve">4. </w:t>
            </w:r>
            <w:r>
              <w:rPr>
                <w:sz w:val="21"/>
                <w:szCs w:val="21"/>
              </w:rPr>
              <w:t>Descartar TPP adquirida cambia el tratamiento agudo y el seguimiento.</w:t>
            </w:r>
          </w:p>
          <w:p w14:paraId="152D54A9" w14:textId="77777777" w:rsidR="00C77558" w:rsidRDefault="006008DB">
            <w:pPr>
              <w:pStyle w:val="Prrafodelista"/>
              <w:numPr>
                <w:ilvl w:val="0"/>
                <w:numId w:val="2"/>
              </w:numPr>
              <w:spacing w:before="80" w:after="80"/>
            </w:pPr>
            <w:r>
              <w:rPr>
                <w:b/>
                <w:bCs/>
                <w:color w:val="7A1515"/>
                <w:sz w:val="21"/>
                <w:szCs w:val="21"/>
              </w:rPr>
              <w:t xml:space="preserve">Pregunta por la familia. </w:t>
            </w:r>
            <w:r>
              <w:rPr>
                <w:sz w:val="21"/>
                <w:szCs w:val="21"/>
              </w:rPr>
              <w:t>Si hay episodios similares en parientes de primer grado, la genética no es opcional —es el diagnóstico definitivo.</w:t>
            </w:r>
          </w:p>
        </w:tc>
      </w:tr>
    </w:tbl>
    <w:p w14:paraId="51A1A69C" w14:textId="200C1299" w:rsidR="008E5DD1" w:rsidRDefault="008E5DD1">
      <w:pPr>
        <w:spacing w:before="240"/>
      </w:pPr>
      <w:r>
        <w:t xml:space="preserve">Nota de caso real: paciente ingresa en el mes de mayo </w:t>
      </w:r>
      <w:r w:rsidR="006008DB">
        <w:t>2026 a</w:t>
      </w:r>
      <w:r>
        <w:t xml:space="preserve"> emergencias del Hospital Eugenio Espejo, entrenador físico, que desde los</w:t>
      </w:r>
      <w:r w:rsidR="006008DB">
        <w:t xml:space="preserve"> </w:t>
      </w:r>
      <w:r>
        <w:t xml:space="preserve"> 18 años cunado realiza ejercicio extenuante presenta disminución de la fuerza en miembros inferiores, con 27 años acude referido desde clínica privada quien indica cuadro de Guillan Barre y requerimiento de cuidado intermedio, sin embargo tiempo de evolución no coincide, </w:t>
      </w:r>
      <w:proofErr w:type="spellStart"/>
      <w:r>
        <w:t>gasoemtria</w:t>
      </w:r>
      <w:proofErr w:type="spellEnd"/>
      <w:r>
        <w:t xml:space="preserve"> externa sin acidosis, y sin </w:t>
      </w:r>
      <w:proofErr w:type="spellStart"/>
      <w:r>
        <w:t>deteriro</w:t>
      </w:r>
      <w:proofErr w:type="spellEnd"/>
      <w:r>
        <w:t xml:space="preserve"> </w:t>
      </w:r>
      <w:proofErr w:type="spellStart"/>
      <w:r>
        <w:t>neurologico</w:t>
      </w:r>
      <w:proofErr w:type="spellEnd"/>
      <w:r>
        <w:t xml:space="preserve">,  pese a que no refiere historia familiar se </w:t>
      </w:r>
      <w:proofErr w:type="spellStart"/>
      <w:r>
        <w:t>investigo</w:t>
      </w:r>
      <w:proofErr w:type="spellEnd"/>
      <w:r>
        <w:t xml:space="preserve"> la misma, prueba tiroide</w:t>
      </w:r>
      <w:r w:rsidR="006008DB">
        <w:t>as</w:t>
      </w:r>
      <w:r>
        <w:t xml:space="preserve"> normales, se da suposición diagnostica se trata hipocalemia con recuperación completa al momento en espera de diagnostico final por consulta externa</w:t>
      </w:r>
      <w:r w:rsidR="006008DB">
        <w:t xml:space="preserve"> de medicina interna.</w:t>
      </w:r>
      <w:r>
        <w:t xml:space="preserve">      </w:t>
      </w:r>
    </w:p>
    <w:p w14:paraId="67FA4813" w14:textId="77777777" w:rsidR="00C77558" w:rsidRDefault="00C77558">
      <w:pPr>
        <w:pBdr>
          <w:bottom w:val="single" w:sz="4" w:space="1" w:color="CCCCCC"/>
        </w:pBdr>
        <w:spacing w:before="120" w:after="120"/>
      </w:pPr>
    </w:p>
    <w:p w14:paraId="07ABE6BC" w14:textId="77777777" w:rsidR="00C77558" w:rsidRDefault="006008DB">
      <w:pPr>
        <w:spacing w:before="160" w:after="120"/>
      </w:pPr>
      <w:r>
        <w:rPr>
          <w:rFonts w:ascii="Arial" w:eastAsia="Arial" w:hAnsi="Arial" w:cs="Arial"/>
          <w:b/>
          <w:bCs/>
          <w:color w:val="888888"/>
          <w:sz w:val="18"/>
          <w:szCs w:val="18"/>
        </w:rPr>
        <w:lastRenderedPageBreak/>
        <w:t>◆ FUENTES Y REFERENCIAS</w:t>
      </w:r>
    </w:p>
    <w:p w14:paraId="68BF6800" w14:textId="77777777" w:rsidR="00C77558" w:rsidRDefault="006008DB">
      <w:pPr>
        <w:pStyle w:val="Prrafodelista"/>
        <w:numPr>
          <w:ilvl w:val="0"/>
          <w:numId w:val="3"/>
        </w:numPr>
        <w:spacing w:before="40" w:after="40"/>
      </w:pPr>
      <w:proofErr w:type="spellStart"/>
      <w:r>
        <w:rPr>
          <w:i/>
          <w:iCs/>
          <w:color w:val="888888"/>
          <w:sz w:val="18"/>
          <w:szCs w:val="18"/>
        </w:rPr>
        <w:t>StatPearls</w:t>
      </w:r>
      <w:proofErr w:type="spellEnd"/>
      <w:r>
        <w:rPr>
          <w:i/>
          <w:iCs/>
          <w:color w:val="888888"/>
          <w:sz w:val="18"/>
          <w:szCs w:val="18"/>
        </w:rPr>
        <w:t xml:space="preserve">. </w:t>
      </w:r>
      <w:proofErr w:type="spellStart"/>
      <w:r>
        <w:rPr>
          <w:i/>
          <w:iCs/>
          <w:color w:val="888888"/>
          <w:sz w:val="18"/>
          <w:szCs w:val="18"/>
        </w:rPr>
        <w:t>Hypokalemic</w:t>
      </w:r>
      <w:proofErr w:type="spellEnd"/>
      <w:r>
        <w:rPr>
          <w:i/>
          <w:iCs/>
          <w:color w:val="888888"/>
          <w:sz w:val="18"/>
          <w:szCs w:val="18"/>
        </w:rPr>
        <w:t xml:space="preserve"> </w:t>
      </w:r>
      <w:proofErr w:type="spellStart"/>
      <w:r>
        <w:rPr>
          <w:i/>
          <w:iCs/>
          <w:color w:val="888888"/>
          <w:sz w:val="18"/>
          <w:szCs w:val="18"/>
        </w:rPr>
        <w:t>Periodic</w:t>
      </w:r>
      <w:proofErr w:type="spellEnd"/>
      <w:r>
        <w:rPr>
          <w:i/>
          <w:iCs/>
          <w:color w:val="888888"/>
          <w:sz w:val="18"/>
          <w:szCs w:val="18"/>
        </w:rPr>
        <w:t xml:space="preserve"> </w:t>
      </w:r>
      <w:proofErr w:type="spellStart"/>
      <w:r>
        <w:rPr>
          <w:i/>
          <w:iCs/>
          <w:color w:val="888888"/>
          <w:sz w:val="18"/>
          <w:szCs w:val="18"/>
        </w:rPr>
        <w:t>Paralysis</w:t>
      </w:r>
      <w:proofErr w:type="spellEnd"/>
      <w:r>
        <w:rPr>
          <w:i/>
          <w:iCs/>
          <w:color w:val="888888"/>
          <w:sz w:val="18"/>
          <w:szCs w:val="18"/>
        </w:rPr>
        <w:t xml:space="preserve">. </w:t>
      </w:r>
      <w:proofErr w:type="spellStart"/>
      <w:r>
        <w:rPr>
          <w:i/>
          <w:iCs/>
          <w:color w:val="888888"/>
          <w:sz w:val="18"/>
          <w:szCs w:val="18"/>
        </w:rPr>
        <w:t>Updated</w:t>
      </w:r>
      <w:proofErr w:type="spellEnd"/>
      <w:r>
        <w:rPr>
          <w:i/>
          <w:iCs/>
          <w:color w:val="888888"/>
          <w:sz w:val="18"/>
          <w:szCs w:val="18"/>
        </w:rPr>
        <w:t xml:space="preserve"> </w:t>
      </w:r>
      <w:proofErr w:type="spellStart"/>
      <w:r>
        <w:rPr>
          <w:i/>
          <w:iCs/>
          <w:color w:val="888888"/>
          <w:sz w:val="18"/>
          <w:szCs w:val="18"/>
        </w:rPr>
        <w:t>November</w:t>
      </w:r>
      <w:proofErr w:type="spellEnd"/>
      <w:r>
        <w:rPr>
          <w:i/>
          <w:iCs/>
          <w:color w:val="888888"/>
          <w:sz w:val="18"/>
          <w:szCs w:val="18"/>
        </w:rPr>
        <w:t xml:space="preserve"> 2025. ncbi.nlm.nih.gov/</w:t>
      </w:r>
      <w:proofErr w:type="spellStart"/>
      <w:r>
        <w:rPr>
          <w:i/>
          <w:iCs/>
          <w:color w:val="888888"/>
          <w:sz w:val="18"/>
          <w:szCs w:val="18"/>
        </w:rPr>
        <w:t>books</w:t>
      </w:r>
      <w:proofErr w:type="spellEnd"/>
      <w:r>
        <w:rPr>
          <w:i/>
          <w:iCs/>
          <w:color w:val="888888"/>
          <w:sz w:val="18"/>
          <w:szCs w:val="18"/>
        </w:rPr>
        <w:t>/NBK559178/</w:t>
      </w:r>
    </w:p>
    <w:p w14:paraId="1205C090" w14:textId="77777777" w:rsidR="00C77558" w:rsidRDefault="006008DB">
      <w:pPr>
        <w:pStyle w:val="Prrafodelista"/>
        <w:numPr>
          <w:ilvl w:val="0"/>
          <w:numId w:val="3"/>
        </w:numPr>
        <w:spacing w:before="40" w:after="40"/>
      </w:pPr>
      <w:proofErr w:type="spellStart"/>
      <w:r>
        <w:rPr>
          <w:i/>
          <w:iCs/>
          <w:color w:val="888888"/>
          <w:sz w:val="18"/>
          <w:szCs w:val="18"/>
        </w:rPr>
        <w:t>Alrashidi</w:t>
      </w:r>
      <w:proofErr w:type="spellEnd"/>
      <w:r>
        <w:rPr>
          <w:i/>
          <w:iCs/>
          <w:color w:val="888888"/>
          <w:sz w:val="18"/>
          <w:szCs w:val="18"/>
        </w:rPr>
        <w:t xml:space="preserve"> FS. </w:t>
      </w:r>
      <w:proofErr w:type="spellStart"/>
      <w:r>
        <w:rPr>
          <w:i/>
          <w:iCs/>
          <w:color w:val="888888"/>
          <w:sz w:val="18"/>
          <w:szCs w:val="18"/>
        </w:rPr>
        <w:t>Thyrotoxic</w:t>
      </w:r>
      <w:proofErr w:type="spellEnd"/>
      <w:r>
        <w:rPr>
          <w:i/>
          <w:iCs/>
          <w:color w:val="888888"/>
          <w:sz w:val="18"/>
          <w:szCs w:val="18"/>
        </w:rPr>
        <w:t xml:space="preserve"> </w:t>
      </w:r>
      <w:proofErr w:type="spellStart"/>
      <w:r>
        <w:rPr>
          <w:i/>
          <w:iCs/>
          <w:color w:val="888888"/>
          <w:sz w:val="18"/>
          <w:szCs w:val="18"/>
        </w:rPr>
        <w:t>Periodic</w:t>
      </w:r>
      <w:proofErr w:type="spellEnd"/>
      <w:r>
        <w:rPr>
          <w:i/>
          <w:iCs/>
          <w:color w:val="888888"/>
          <w:sz w:val="18"/>
          <w:szCs w:val="18"/>
        </w:rPr>
        <w:t xml:space="preserve"> </w:t>
      </w:r>
      <w:proofErr w:type="spellStart"/>
      <w:r>
        <w:rPr>
          <w:i/>
          <w:iCs/>
          <w:color w:val="888888"/>
          <w:sz w:val="18"/>
          <w:szCs w:val="18"/>
        </w:rPr>
        <w:t>Paralysis</w:t>
      </w:r>
      <w:proofErr w:type="spellEnd"/>
      <w:r>
        <w:rPr>
          <w:i/>
          <w:iCs/>
          <w:color w:val="888888"/>
          <w:sz w:val="18"/>
          <w:szCs w:val="18"/>
        </w:rPr>
        <w:t xml:space="preserve">: A Comprehensive </w:t>
      </w:r>
      <w:proofErr w:type="spellStart"/>
      <w:r>
        <w:rPr>
          <w:i/>
          <w:iCs/>
          <w:color w:val="888888"/>
          <w:sz w:val="18"/>
          <w:szCs w:val="18"/>
        </w:rPr>
        <w:t>Review</w:t>
      </w:r>
      <w:proofErr w:type="spellEnd"/>
      <w:r>
        <w:rPr>
          <w:i/>
          <w:iCs/>
          <w:color w:val="888888"/>
          <w:sz w:val="18"/>
          <w:szCs w:val="18"/>
        </w:rPr>
        <w:t xml:space="preserve">. </w:t>
      </w:r>
      <w:proofErr w:type="spellStart"/>
      <w:r>
        <w:rPr>
          <w:i/>
          <w:iCs/>
          <w:color w:val="888888"/>
          <w:sz w:val="18"/>
          <w:szCs w:val="18"/>
        </w:rPr>
        <w:t>Cureus</w:t>
      </w:r>
      <w:proofErr w:type="spellEnd"/>
      <w:r>
        <w:rPr>
          <w:i/>
          <w:iCs/>
          <w:color w:val="888888"/>
          <w:sz w:val="18"/>
          <w:szCs w:val="18"/>
        </w:rPr>
        <w:t xml:space="preserve">. 2025 </w:t>
      </w:r>
      <w:proofErr w:type="spellStart"/>
      <w:r>
        <w:rPr>
          <w:i/>
          <w:iCs/>
          <w:color w:val="888888"/>
          <w:sz w:val="18"/>
          <w:szCs w:val="18"/>
        </w:rPr>
        <w:t>Dec</w:t>
      </w:r>
      <w:proofErr w:type="spellEnd"/>
      <w:r>
        <w:rPr>
          <w:i/>
          <w:iCs/>
          <w:color w:val="888888"/>
          <w:sz w:val="18"/>
          <w:szCs w:val="18"/>
        </w:rPr>
        <w:t>. PMC12782297</w:t>
      </w:r>
    </w:p>
    <w:p w14:paraId="01B911C2" w14:textId="77777777" w:rsidR="00C77558" w:rsidRDefault="006008DB">
      <w:pPr>
        <w:pStyle w:val="Prrafodelista"/>
        <w:numPr>
          <w:ilvl w:val="0"/>
          <w:numId w:val="3"/>
        </w:numPr>
        <w:spacing w:before="40" w:after="40"/>
      </w:pPr>
      <w:r>
        <w:rPr>
          <w:i/>
          <w:iCs/>
          <w:color w:val="888888"/>
          <w:sz w:val="18"/>
          <w:szCs w:val="18"/>
        </w:rPr>
        <w:t xml:space="preserve">Tun T, et al. </w:t>
      </w:r>
      <w:proofErr w:type="spellStart"/>
      <w:r>
        <w:rPr>
          <w:i/>
          <w:iCs/>
          <w:color w:val="888888"/>
          <w:sz w:val="18"/>
          <w:szCs w:val="18"/>
        </w:rPr>
        <w:t>Respiratory</w:t>
      </w:r>
      <w:proofErr w:type="spellEnd"/>
      <w:r>
        <w:rPr>
          <w:i/>
          <w:iCs/>
          <w:color w:val="888888"/>
          <w:sz w:val="18"/>
          <w:szCs w:val="18"/>
        </w:rPr>
        <w:t xml:space="preserve"> </w:t>
      </w:r>
      <w:proofErr w:type="spellStart"/>
      <w:r>
        <w:rPr>
          <w:i/>
          <w:iCs/>
          <w:color w:val="888888"/>
          <w:sz w:val="18"/>
          <w:szCs w:val="18"/>
        </w:rPr>
        <w:t>Failur</w:t>
      </w:r>
      <w:r>
        <w:rPr>
          <w:i/>
          <w:iCs/>
          <w:color w:val="888888"/>
          <w:sz w:val="18"/>
          <w:szCs w:val="18"/>
        </w:rPr>
        <w:t>e</w:t>
      </w:r>
      <w:proofErr w:type="spellEnd"/>
      <w:r>
        <w:rPr>
          <w:i/>
          <w:iCs/>
          <w:color w:val="888888"/>
          <w:sz w:val="18"/>
          <w:szCs w:val="18"/>
        </w:rPr>
        <w:t xml:space="preserve"> in </w:t>
      </w:r>
      <w:proofErr w:type="spellStart"/>
      <w:r>
        <w:rPr>
          <w:i/>
          <w:iCs/>
          <w:color w:val="888888"/>
          <w:sz w:val="18"/>
          <w:szCs w:val="18"/>
        </w:rPr>
        <w:t>Hyperthyroidism</w:t>
      </w:r>
      <w:proofErr w:type="spellEnd"/>
      <w:r>
        <w:rPr>
          <w:i/>
          <w:iCs/>
          <w:color w:val="888888"/>
          <w:sz w:val="18"/>
          <w:szCs w:val="18"/>
        </w:rPr>
        <w:t xml:space="preserve">: Focus </w:t>
      </w:r>
      <w:proofErr w:type="spellStart"/>
      <w:r>
        <w:rPr>
          <w:i/>
          <w:iCs/>
          <w:color w:val="888888"/>
          <w:sz w:val="18"/>
          <w:szCs w:val="18"/>
        </w:rPr>
        <w:t>on</w:t>
      </w:r>
      <w:proofErr w:type="spellEnd"/>
      <w:r>
        <w:rPr>
          <w:i/>
          <w:iCs/>
          <w:color w:val="888888"/>
          <w:sz w:val="18"/>
          <w:szCs w:val="18"/>
        </w:rPr>
        <w:t xml:space="preserve"> TPP. </w:t>
      </w:r>
      <w:proofErr w:type="spellStart"/>
      <w:r>
        <w:rPr>
          <w:i/>
          <w:iCs/>
          <w:color w:val="888888"/>
          <w:sz w:val="18"/>
          <w:szCs w:val="18"/>
        </w:rPr>
        <w:t>Cureus</w:t>
      </w:r>
      <w:proofErr w:type="spellEnd"/>
      <w:r>
        <w:rPr>
          <w:i/>
          <w:iCs/>
          <w:color w:val="888888"/>
          <w:sz w:val="18"/>
          <w:szCs w:val="18"/>
        </w:rPr>
        <w:t>. 2025. PMC12434418</w:t>
      </w:r>
    </w:p>
    <w:p w14:paraId="33EAF0DB" w14:textId="77777777" w:rsidR="00C77558" w:rsidRDefault="006008DB">
      <w:pPr>
        <w:pStyle w:val="Prrafodelista"/>
        <w:numPr>
          <w:ilvl w:val="0"/>
          <w:numId w:val="3"/>
        </w:numPr>
        <w:spacing w:before="40" w:after="40"/>
      </w:pPr>
      <w:proofErr w:type="spellStart"/>
      <w:r>
        <w:rPr>
          <w:i/>
          <w:iCs/>
          <w:color w:val="888888"/>
          <w:sz w:val="18"/>
          <w:szCs w:val="18"/>
        </w:rPr>
        <w:t>Hannouneh</w:t>
      </w:r>
      <w:proofErr w:type="spellEnd"/>
      <w:r>
        <w:rPr>
          <w:i/>
          <w:iCs/>
          <w:color w:val="888888"/>
          <w:sz w:val="18"/>
          <w:szCs w:val="18"/>
        </w:rPr>
        <w:t xml:space="preserve"> ZA, et al. </w:t>
      </w:r>
      <w:proofErr w:type="spellStart"/>
      <w:r>
        <w:rPr>
          <w:i/>
          <w:iCs/>
          <w:color w:val="888888"/>
          <w:sz w:val="18"/>
          <w:szCs w:val="18"/>
        </w:rPr>
        <w:t>Familial</w:t>
      </w:r>
      <w:proofErr w:type="spellEnd"/>
      <w:r>
        <w:rPr>
          <w:i/>
          <w:iCs/>
          <w:color w:val="888888"/>
          <w:sz w:val="18"/>
          <w:szCs w:val="18"/>
        </w:rPr>
        <w:t xml:space="preserve"> </w:t>
      </w:r>
      <w:proofErr w:type="spellStart"/>
      <w:r>
        <w:rPr>
          <w:i/>
          <w:iCs/>
          <w:color w:val="888888"/>
          <w:sz w:val="18"/>
          <w:szCs w:val="18"/>
        </w:rPr>
        <w:t>HypoPP</w:t>
      </w:r>
      <w:proofErr w:type="spellEnd"/>
      <w:r>
        <w:rPr>
          <w:i/>
          <w:iCs/>
          <w:color w:val="888888"/>
          <w:sz w:val="18"/>
          <w:szCs w:val="18"/>
        </w:rPr>
        <w:t xml:space="preserve"> </w:t>
      </w:r>
      <w:proofErr w:type="spellStart"/>
      <w:r>
        <w:rPr>
          <w:i/>
          <w:iCs/>
          <w:color w:val="888888"/>
          <w:sz w:val="18"/>
          <w:szCs w:val="18"/>
        </w:rPr>
        <w:t>induced</w:t>
      </w:r>
      <w:proofErr w:type="spellEnd"/>
      <w:r>
        <w:rPr>
          <w:i/>
          <w:iCs/>
          <w:color w:val="888888"/>
          <w:sz w:val="18"/>
          <w:szCs w:val="18"/>
        </w:rPr>
        <w:t xml:space="preserve"> </w:t>
      </w:r>
      <w:proofErr w:type="spellStart"/>
      <w:r>
        <w:rPr>
          <w:i/>
          <w:iCs/>
          <w:color w:val="888888"/>
          <w:sz w:val="18"/>
          <w:szCs w:val="18"/>
        </w:rPr>
        <w:t>by</w:t>
      </w:r>
      <w:proofErr w:type="spellEnd"/>
      <w:r>
        <w:rPr>
          <w:i/>
          <w:iCs/>
          <w:color w:val="888888"/>
          <w:sz w:val="18"/>
          <w:szCs w:val="18"/>
        </w:rPr>
        <w:t xml:space="preserve"> </w:t>
      </w:r>
      <w:proofErr w:type="spellStart"/>
      <w:r>
        <w:rPr>
          <w:i/>
          <w:iCs/>
          <w:color w:val="888888"/>
          <w:sz w:val="18"/>
          <w:szCs w:val="18"/>
        </w:rPr>
        <w:t>concurrent</w:t>
      </w:r>
      <w:proofErr w:type="spellEnd"/>
      <w:r>
        <w:rPr>
          <w:i/>
          <w:iCs/>
          <w:color w:val="888888"/>
          <w:sz w:val="18"/>
          <w:szCs w:val="18"/>
        </w:rPr>
        <w:t xml:space="preserve"> </w:t>
      </w:r>
      <w:proofErr w:type="spellStart"/>
      <w:r>
        <w:rPr>
          <w:i/>
          <w:iCs/>
          <w:color w:val="888888"/>
          <w:sz w:val="18"/>
          <w:szCs w:val="18"/>
        </w:rPr>
        <w:t>hyperthyroidism</w:t>
      </w:r>
      <w:proofErr w:type="spellEnd"/>
      <w:r>
        <w:rPr>
          <w:i/>
          <w:iCs/>
          <w:color w:val="888888"/>
          <w:sz w:val="18"/>
          <w:szCs w:val="18"/>
        </w:rPr>
        <w:t xml:space="preserve">. BMC </w:t>
      </w:r>
      <w:proofErr w:type="spellStart"/>
      <w:r>
        <w:rPr>
          <w:i/>
          <w:iCs/>
          <w:color w:val="888888"/>
          <w:sz w:val="18"/>
          <w:szCs w:val="18"/>
        </w:rPr>
        <w:t>Nephrol</w:t>
      </w:r>
      <w:proofErr w:type="spellEnd"/>
      <w:r>
        <w:rPr>
          <w:i/>
          <w:iCs/>
          <w:color w:val="888888"/>
          <w:sz w:val="18"/>
          <w:szCs w:val="18"/>
        </w:rPr>
        <w:t>. 2024. PMC11429431</w:t>
      </w:r>
    </w:p>
    <w:p w14:paraId="5726CFEF" w14:textId="77777777" w:rsidR="00C77558" w:rsidRDefault="006008DB">
      <w:pPr>
        <w:pStyle w:val="Prrafodelista"/>
        <w:numPr>
          <w:ilvl w:val="0"/>
          <w:numId w:val="3"/>
        </w:numPr>
        <w:spacing w:before="40" w:after="40"/>
      </w:pPr>
      <w:r>
        <w:rPr>
          <w:i/>
          <w:iCs/>
          <w:color w:val="888888"/>
          <w:sz w:val="18"/>
          <w:szCs w:val="18"/>
        </w:rPr>
        <w:t xml:space="preserve">Jain M, et al. </w:t>
      </w:r>
      <w:proofErr w:type="spellStart"/>
      <w:r>
        <w:rPr>
          <w:i/>
          <w:iCs/>
          <w:color w:val="888888"/>
          <w:sz w:val="18"/>
          <w:szCs w:val="18"/>
        </w:rPr>
        <w:t>Hypokalemic</w:t>
      </w:r>
      <w:proofErr w:type="spellEnd"/>
      <w:r>
        <w:rPr>
          <w:i/>
          <w:iCs/>
          <w:color w:val="888888"/>
          <w:sz w:val="18"/>
          <w:szCs w:val="18"/>
        </w:rPr>
        <w:t xml:space="preserve"> </w:t>
      </w:r>
      <w:proofErr w:type="spellStart"/>
      <w:r>
        <w:rPr>
          <w:i/>
          <w:iCs/>
          <w:color w:val="888888"/>
          <w:sz w:val="18"/>
          <w:szCs w:val="18"/>
        </w:rPr>
        <w:t>Paralysis</w:t>
      </w:r>
      <w:proofErr w:type="spellEnd"/>
      <w:r>
        <w:rPr>
          <w:i/>
          <w:iCs/>
          <w:color w:val="888888"/>
          <w:sz w:val="18"/>
          <w:szCs w:val="18"/>
        </w:rPr>
        <w:t xml:space="preserve"> </w:t>
      </w:r>
      <w:proofErr w:type="spellStart"/>
      <w:r>
        <w:rPr>
          <w:i/>
          <w:iCs/>
          <w:color w:val="888888"/>
          <w:sz w:val="18"/>
          <w:szCs w:val="18"/>
        </w:rPr>
        <w:t>Is</w:t>
      </w:r>
      <w:proofErr w:type="spellEnd"/>
      <w:r>
        <w:rPr>
          <w:i/>
          <w:iCs/>
          <w:color w:val="888888"/>
          <w:sz w:val="18"/>
          <w:szCs w:val="18"/>
        </w:rPr>
        <w:t xml:space="preserve"> </w:t>
      </w:r>
      <w:proofErr w:type="spellStart"/>
      <w:r>
        <w:rPr>
          <w:i/>
          <w:iCs/>
          <w:color w:val="888888"/>
          <w:sz w:val="18"/>
          <w:szCs w:val="18"/>
        </w:rPr>
        <w:t>Not</w:t>
      </w:r>
      <w:proofErr w:type="spellEnd"/>
      <w:r>
        <w:rPr>
          <w:i/>
          <w:iCs/>
          <w:color w:val="888888"/>
          <w:sz w:val="18"/>
          <w:szCs w:val="18"/>
        </w:rPr>
        <w:t xml:space="preserve"> </w:t>
      </w:r>
      <w:proofErr w:type="spellStart"/>
      <w:r>
        <w:rPr>
          <w:i/>
          <w:iCs/>
          <w:color w:val="888888"/>
          <w:sz w:val="18"/>
          <w:szCs w:val="18"/>
        </w:rPr>
        <w:t>Always</w:t>
      </w:r>
      <w:proofErr w:type="spellEnd"/>
      <w:r>
        <w:rPr>
          <w:i/>
          <w:iCs/>
          <w:color w:val="888888"/>
          <w:sz w:val="18"/>
          <w:szCs w:val="18"/>
        </w:rPr>
        <w:t xml:space="preserve"> </w:t>
      </w:r>
      <w:proofErr w:type="spellStart"/>
      <w:r>
        <w:rPr>
          <w:i/>
          <w:iCs/>
          <w:color w:val="888888"/>
          <w:sz w:val="18"/>
          <w:szCs w:val="18"/>
        </w:rPr>
        <w:t>Periodic</w:t>
      </w:r>
      <w:proofErr w:type="spellEnd"/>
      <w:r>
        <w:rPr>
          <w:i/>
          <w:iCs/>
          <w:color w:val="888888"/>
          <w:sz w:val="18"/>
          <w:szCs w:val="18"/>
        </w:rPr>
        <w:t xml:space="preserve">: A Case Series. Case </w:t>
      </w:r>
      <w:proofErr w:type="spellStart"/>
      <w:r>
        <w:rPr>
          <w:i/>
          <w:iCs/>
          <w:color w:val="888888"/>
          <w:sz w:val="18"/>
          <w:szCs w:val="18"/>
        </w:rPr>
        <w:t>Rep</w:t>
      </w:r>
      <w:proofErr w:type="spellEnd"/>
      <w:r>
        <w:rPr>
          <w:i/>
          <w:iCs/>
          <w:color w:val="888888"/>
          <w:sz w:val="18"/>
          <w:szCs w:val="18"/>
        </w:rPr>
        <w:t xml:space="preserve"> </w:t>
      </w:r>
      <w:proofErr w:type="spellStart"/>
      <w:r>
        <w:rPr>
          <w:i/>
          <w:iCs/>
          <w:color w:val="888888"/>
          <w:sz w:val="18"/>
          <w:szCs w:val="18"/>
        </w:rPr>
        <w:t>Me</w:t>
      </w:r>
      <w:r>
        <w:rPr>
          <w:i/>
          <w:iCs/>
          <w:color w:val="888888"/>
          <w:sz w:val="18"/>
          <w:szCs w:val="18"/>
        </w:rPr>
        <w:t>d</w:t>
      </w:r>
      <w:proofErr w:type="spellEnd"/>
      <w:r>
        <w:rPr>
          <w:i/>
          <w:iCs/>
          <w:color w:val="888888"/>
          <w:sz w:val="18"/>
          <w:szCs w:val="18"/>
        </w:rPr>
        <w:t>. 2025.</w:t>
      </w:r>
    </w:p>
    <w:p w14:paraId="0703F485" w14:textId="77777777" w:rsidR="00C77558" w:rsidRDefault="006008DB">
      <w:pPr>
        <w:pStyle w:val="Prrafodelista"/>
        <w:numPr>
          <w:ilvl w:val="0"/>
          <w:numId w:val="3"/>
        </w:numPr>
        <w:spacing w:before="40" w:after="40"/>
      </w:pPr>
      <w:proofErr w:type="spellStart"/>
      <w:r>
        <w:rPr>
          <w:i/>
          <w:iCs/>
          <w:color w:val="888888"/>
          <w:sz w:val="18"/>
          <w:szCs w:val="18"/>
        </w:rPr>
        <w:t>Hu</w:t>
      </w:r>
      <w:proofErr w:type="spellEnd"/>
      <w:r>
        <w:rPr>
          <w:i/>
          <w:iCs/>
          <w:color w:val="888888"/>
          <w:sz w:val="18"/>
          <w:szCs w:val="18"/>
        </w:rPr>
        <w:t xml:space="preserve"> NQ, et al. HPP </w:t>
      </w:r>
      <w:proofErr w:type="spellStart"/>
      <w:r>
        <w:rPr>
          <w:i/>
          <w:iCs/>
          <w:color w:val="888888"/>
          <w:sz w:val="18"/>
          <w:szCs w:val="18"/>
        </w:rPr>
        <w:t>Type</w:t>
      </w:r>
      <w:proofErr w:type="spellEnd"/>
      <w:r>
        <w:rPr>
          <w:i/>
          <w:iCs/>
          <w:color w:val="888888"/>
          <w:sz w:val="18"/>
          <w:szCs w:val="18"/>
        </w:rPr>
        <w:t xml:space="preserve"> 2 </w:t>
      </w:r>
      <w:proofErr w:type="spellStart"/>
      <w:r>
        <w:rPr>
          <w:i/>
          <w:iCs/>
          <w:color w:val="888888"/>
          <w:sz w:val="18"/>
          <w:szCs w:val="18"/>
        </w:rPr>
        <w:t>Due</w:t>
      </w:r>
      <w:proofErr w:type="spellEnd"/>
      <w:r>
        <w:rPr>
          <w:i/>
          <w:iCs/>
          <w:color w:val="888888"/>
          <w:sz w:val="18"/>
          <w:szCs w:val="18"/>
        </w:rPr>
        <w:t xml:space="preserve"> </w:t>
      </w:r>
      <w:proofErr w:type="spellStart"/>
      <w:r>
        <w:rPr>
          <w:i/>
          <w:iCs/>
          <w:color w:val="888888"/>
          <w:sz w:val="18"/>
          <w:szCs w:val="18"/>
        </w:rPr>
        <w:t>to</w:t>
      </w:r>
      <w:proofErr w:type="spellEnd"/>
      <w:r>
        <w:rPr>
          <w:i/>
          <w:iCs/>
          <w:color w:val="888888"/>
          <w:sz w:val="18"/>
          <w:szCs w:val="18"/>
        </w:rPr>
        <w:t xml:space="preserve"> SCN4A Val1105Met </w:t>
      </w:r>
      <w:proofErr w:type="spellStart"/>
      <w:r>
        <w:rPr>
          <w:i/>
          <w:iCs/>
          <w:color w:val="888888"/>
          <w:sz w:val="18"/>
          <w:szCs w:val="18"/>
        </w:rPr>
        <w:t>Mutation</w:t>
      </w:r>
      <w:proofErr w:type="spellEnd"/>
      <w:r>
        <w:rPr>
          <w:i/>
          <w:iCs/>
          <w:color w:val="888888"/>
          <w:sz w:val="18"/>
          <w:szCs w:val="18"/>
        </w:rPr>
        <w:t xml:space="preserve">. </w:t>
      </w:r>
      <w:proofErr w:type="spellStart"/>
      <w:r>
        <w:rPr>
          <w:i/>
          <w:iCs/>
          <w:color w:val="888888"/>
          <w:sz w:val="18"/>
          <w:szCs w:val="18"/>
        </w:rPr>
        <w:t>Cureus</w:t>
      </w:r>
      <w:proofErr w:type="spellEnd"/>
      <w:r>
        <w:rPr>
          <w:i/>
          <w:iCs/>
          <w:color w:val="888888"/>
          <w:sz w:val="18"/>
          <w:szCs w:val="18"/>
        </w:rPr>
        <w:t>. 2024. PMC10858300</w:t>
      </w:r>
    </w:p>
    <w:p w14:paraId="3DC84CFC" w14:textId="77777777" w:rsidR="00C77558" w:rsidRDefault="006008DB">
      <w:pPr>
        <w:pStyle w:val="Prrafodelista"/>
        <w:numPr>
          <w:ilvl w:val="0"/>
          <w:numId w:val="3"/>
        </w:numPr>
        <w:spacing w:before="40" w:after="40"/>
      </w:pPr>
      <w:proofErr w:type="spellStart"/>
      <w:r>
        <w:rPr>
          <w:i/>
          <w:iCs/>
          <w:color w:val="888888"/>
          <w:sz w:val="18"/>
          <w:szCs w:val="18"/>
        </w:rPr>
        <w:t>Siddamreddy</w:t>
      </w:r>
      <w:proofErr w:type="spellEnd"/>
      <w:r>
        <w:rPr>
          <w:i/>
          <w:iCs/>
          <w:color w:val="888888"/>
          <w:sz w:val="18"/>
          <w:szCs w:val="18"/>
        </w:rPr>
        <w:t xml:space="preserve"> S, </w:t>
      </w:r>
      <w:proofErr w:type="spellStart"/>
      <w:r>
        <w:rPr>
          <w:i/>
          <w:iCs/>
          <w:color w:val="888888"/>
          <w:sz w:val="18"/>
          <w:szCs w:val="18"/>
        </w:rPr>
        <w:t>Dandu</w:t>
      </w:r>
      <w:proofErr w:type="spellEnd"/>
      <w:r>
        <w:rPr>
          <w:i/>
          <w:iCs/>
          <w:color w:val="888888"/>
          <w:sz w:val="18"/>
          <w:szCs w:val="18"/>
        </w:rPr>
        <w:t xml:space="preserve"> VH. </w:t>
      </w:r>
      <w:proofErr w:type="spellStart"/>
      <w:r>
        <w:rPr>
          <w:i/>
          <w:iCs/>
          <w:color w:val="888888"/>
          <w:sz w:val="18"/>
          <w:szCs w:val="18"/>
        </w:rPr>
        <w:t>Thyrotoxic</w:t>
      </w:r>
      <w:proofErr w:type="spellEnd"/>
      <w:r>
        <w:rPr>
          <w:i/>
          <w:iCs/>
          <w:color w:val="888888"/>
          <w:sz w:val="18"/>
          <w:szCs w:val="18"/>
        </w:rPr>
        <w:t xml:space="preserve"> </w:t>
      </w:r>
      <w:proofErr w:type="spellStart"/>
      <w:r>
        <w:rPr>
          <w:i/>
          <w:iCs/>
          <w:color w:val="888888"/>
          <w:sz w:val="18"/>
          <w:szCs w:val="18"/>
        </w:rPr>
        <w:t>Periodic</w:t>
      </w:r>
      <w:proofErr w:type="spellEnd"/>
      <w:r>
        <w:rPr>
          <w:i/>
          <w:iCs/>
          <w:color w:val="888888"/>
          <w:sz w:val="18"/>
          <w:szCs w:val="18"/>
        </w:rPr>
        <w:t xml:space="preserve"> </w:t>
      </w:r>
      <w:proofErr w:type="spellStart"/>
      <w:r>
        <w:rPr>
          <w:i/>
          <w:iCs/>
          <w:color w:val="888888"/>
          <w:sz w:val="18"/>
          <w:szCs w:val="18"/>
        </w:rPr>
        <w:t>Paralysis</w:t>
      </w:r>
      <w:proofErr w:type="spellEnd"/>
      <w:r>
        <w:rPr>
          <w:i/>
          <w:iCs/>
          <w:color w:val="888888"/>
          <w:sz w:val="18"/>
          <w:szCs w:val="18"/>
        </w:rPr>
        <w:t xml:space="preserve">. </w:t>
      </w:r>
      <w:proofErr w:type="spellStart"/>
      <w:r>
        <w:rPr>
          <w:i/>
          <w:iCs/>
          <w:color w:val="888888"/>
          <w:sz w:val="18"/>
          <w:szCs w:val="18"/>
        </w:rPr>
        <w:t>StatPearls</w:t>
      </w:r>
      <w:proofErr w:type="spellEnd"/>
      <w:r>
        <w:rPr>
          <w:i/>
          <w:iCs/>
          <w:color w:val="888888"/>
          <w:sz w:val="18"/>
          <w:szCs w:val="18"/>
        </w:rPr>
        <w:t xml:space="preserve">. </w:t>
      </w:r>
      <w:proofErr w:type="spellStart"/>
      <w:r>
        <w:rPr>
          <w:i/>
          <w:iCs/>
          <w:color w:val="888888"/>
          <w:sz w:val="18"/>
          <w:szCs w:val="18"/>
        </w:rPr>
        <w:t>Updated</w:t>
      </w:r>
      <w:proofErr w:type="spellEnd"/>
      <w:r>
        <w:rPr>
          <w:i/>
          <w:iCs/>
          <w:color w:val="888888"/>
          <w:sz w:val="18"/>
          <w:szCs w:val="18"/>
        </w:rPr>
        <w:t xml:space="preserve"> 2023.</w:t>
      </w:r>
    </w:p>
    <w:p w14:paraId="483E4201" w14:textId="77777777" w:rsidR="00C77558" w:rsidRDefault="00C77558">
      <w:pPr>
        <w:spacing w:before="160"/>
      </w:pPr>
    </w:p>
    <w:p w14:paraId="1776EDC4" w14:textId="0D084577" w:rsidR="00C77558" w:rsidRDefault="00C77558">
      <w:pPr>
        <w:spacing w:before="120"/>
      </w:pPr>
    </w:p>
    <w:sectPr w:rsidR="00C77558">
      <w:pgSz w:w="12240" w:h="15840"/>
      <w:pgMar w:top="1440" w:right="1260" w:bottom="1440" w:left="12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864AD" w14:textId="77777777" w:rsidR="00000000" w:rsidRDefault="006008DB">
      <w:r>
        <w:separator/>
      </w:r>
    </w:p>
  </w:endnote>
  <w:endnote w:type="continuationSeparator" w:id="0">
    <w:p w14:paraId="3FBE9E70" w14:textId="77777777" w:rsidR="00000000" w:rsidRDefault="00600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C4408" w14:textId="77777777" w:rsidR="00000000" w:rsidRDefault="006008DB">
      <w:r>
        <w:separator/>
      </w:r>
    </w:p>
  </w:footnote>
  <w:footnote w:type="continuationSeparator" w:id="0">
    <w:p w14:paraId="4458BCF5" w14:textId="77777777" w:rsidR="00000000" w:rsidRDefault="00600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E40B24"/>
    <w:multiLevelType w:val="hybridMultilevel"/>
    <w:tmpl w:val="519AEC54"/>
    <w:lvl w:ilvl="0" w:tplc="04FCA942">
      <w:start w:val="1"/>
      <w:numFmt w:val="bullet"/>
      <w:lvlText w:val="●"/>
      <w:lvlJc w:val="left"/>
      <w:pPr>
        <w:ind w:left="720" w:hanging="360"/>
      </w:pPr>
    </w:lvl>
    <w:lvl w:ilvl="1" w:tplc="CDE44CAA">
      <w:start w:val="1"/>
      <w:numFmt w:val="bullet"/>
      <w:lvlText w:val="○"/>
      <w:lvlJc w:val="left"/>
      <w:pPr>
        <w:ind w:left="1440" w:hanging="360"/>
      </w:pPr>
    </w:lvl>
    <w:lvl w:ilvl="2" w:tplc="915ACF98">
      <w:start w:val="1"/>
      <w:numFmt w:val="bullet"/>
      <w:lvlText w:val="■"/>
      <w:lvlJc w:val="left"/>
      <w:pPr>
        <w:ind w:left="2160" w:hanging="360"/>
      </w:pPr>
    </w:lvl>
    <w:lvl w:ilvl="3" w:tplc="730642BC">
      <w:start w:val="1"/>
      <w:numFmt w:val="bullet"/>
      <w:lvlText w:val="●"/>
      <w:lvlJc w:val="left"/>
      <w:pPr>
        <w:ind w:left="2880" w:hanging="360"/>
      </w:pPr>
    </w:lvl>
    <w:lvl w:ilvl="4" w:tplc="B5F6354E">
      <w:start w:val="1"/>
      <w:numFmt w:val="bullet"/>
      <w:lvlText w:val="○"/>
      <w:lvlJc w:val="left"/>
      <w:pPr>
        <w:ind w:left="3600" w:hanging="360"/>
      </w:pPr>
    </w:lvl>
    <w:lvl w:ilvl="5" w:tplc="57523D50">
      <w:start w:val="1"/>
      <w:numFmt w:val="bullet"/>
      <w:lvlText w:val="■"/>
      <w:lvlJc w:val="left"/>
      <w:pPr>
        <w:ind w:left="4320" w:hanging="360"/>
      </w:pPr>
    </w:lvl>
    <w:lvl w:ilvl="6" w:tplc="A60CCA76">
      <w:start w:val="1"/>
      <w:numFmt w:val="bullet"/>
      <w:lvlText w:val="●"/>
      <w:lvlJc w:val="left"/>
      <w:pPr>
        <w:ind w:left="5040" w:hanging="360"/>
      </w:pPr>
    </w:lvl>
    <w:lvl w:ilvl="7" w:tplc="C4100BD2">
      <w:start w:val="1"/>
      <w:numFmt w:val="bullet"/>
      <w:lvlText w:val="●"/>
      <w:lvlJc w:val="left"/>
      <w:pPr>
        <w:ind w:left="5760" w:hanging="360"/>
      </w:pPr>
    </w:lvl>
    <w:lvl w:ilvl="8" w:tplc="F0C2C86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C544CBE"/>
    <w:multiLevelType w:val="hybridMultilevel"/>
    <w:tmpl w:val="D0C48D8E"/>
    <w:lvl w:ilvl="0" w:tplc="1A0CA046">
      <w:start w:val="1"/>
      <w:numFmt w:val="bullet"/>
      <w:lvlText w:val="◆"/>
      <w:lvlJc w:val="left"/>
      <w:pPr>
        <w:ind w:left="600" w:hanging="360"/>
      </w:pPr>
      <w:rPr>
        <w:rFonts w:ascii="Arial" w:eastAsia="Arial" w:hAnsi="Arial" w:cs="Arial"/>
        <w:color w:val="7A1515"/>
        <w:sz w:val="18"/>
        <w:szCs w:val="18"/>
      </w:rPr>
    </w:lvl>
    <w:lvl w:ilvl="1" w:tplc="4060F83E">
      <w:numFmt w:val="decimal"/>
      <w:lvlText w:val=""/>
      <w:lvlJc w:val="left"/>
    </w:lvl>
    <w:lvl w:ilvl="2" w:tplc="EC72878C">
      <w:numFmt w:val="decimal"/>
      <w:lvlText w:val=""/>
      <w:lvlJc w:val="left"/>
    </w:lvl>
    <w:lvl w:ilvl="3" w:tplc="8AEAC724">
      <w:numFmt w:val="decimal"/>
      <w:lvlText w:val=""/>
      <w:lvlJc w:val="left"/>
    </w:lvl>
    <w:lvl w:ilvl="4" w:tplc="39B66CFC">
      <w:numFmt w:val="decimal"/>
      <w:lvlText w:val=""/>
      <w:lvlJc w:val="left"/>
    </w:lvl>
    <w:lvl w:ilvl="5" w:tplc="8FE6CE2E">
      <w:numFmt w:val="decimal"/>
      <w:lvlText w:val=""/>
      <w:lvlJc w:val="left"/>
    </w:lvl>
    <w:lvl w:ilvl="6" w:tplc="35288E9E">
      <w:numFmt w:val="decimal"/>
      <w:lvlText w:val=""/>
      <w:lvlJc w:val="left"/>
    </w:lvl>
    <w:lvl w:ilvl="7" w:tplc="B6649452">
      <w:numFmt w:val="decimal"/>
      <w:lvlText w:val=""/>
      <w:lvlJc w:val="left"/>
    </w:lvl>
    <w:lvl w:ilvl="8" w:tplc="9E440A9A">
      <w:numFmt w:val="decimal"/>
      <w:lvlText w:val=""/>
      <w:lvlJc w:val="left"/>
    </w:lvl>
  </w:abstractNum>
  <w:abstractNum w:abstractNumId="2" w15:restartNumberingAfterBreak="0">
    <w:nsid w:val="7C1D3C9B"/>
    <w:multiLevelType w:val="hybridMultilevel"/>
    <w:tmpl w:val="929007C6"/>
    <w:lvl w:ilvl="0" w:tplc="82ECF830">
      <w:start w:val="1"/>
      <w:numFmt w:val="decimal"/>
      <w:lvlText w:val="%1."/>
      <w:lvlJc w:val="left"/>
      <w:pPr>
        <w:ind w:left="600" w:hanging="360"/>
      </w:pPr>
    </w:lvl>
    <w:lvl w:ilvl="1" w:tplc="FFBC9D8C">
      <w:numFmt w:val="decimal"/>
      <w:lvlText w:val=""/>
      <w:lvlJc w:val="left"/>
    </w:lvl>
    <w:lvl w:ilvl="2" w:tplc="A03EF170">
      <w:numFmt w:val="decimal"/>
      <w:lvlText w:val=""/>
      <w:lvlJc w:val="left"/>
    </w:lvl>
    <w:lvl w:ilvl="3" w:tplc="DD6C3134">
      <w:numFmt w:val="decimal"/>
      <w:lvlText w:val=""/>
      <w:lvlJc w:val="left"/>
    </w:lvl>
    <w:lvl w:ilvl="4" w:tplc="F3E436DA">
      <w:numFmt w:val="decimal"/>
      <w:lvlText w:val=""/>
      <w:lvlJc w:val="left"/>
    </w:lvl>
    <w:lvl w:ilvl="5" w:tplc="99B8AD5A">
      <w:numFmt w:val="decimal"/>
      <w:lvlText w:val=""/>
      <w:lvlJc w:val="left"/>
    </w:lvl>
    <w:lvl w:ilvl="6" w:tplc="D94E0674">
      <w:numFmt w:val="decimal"/>
      <w:lvlText w:val=""/>
      <w:lvlJc w:val="left"/>
    </w:lvl>
    <w:lvl w:ilvl="7" w:tplc="F26827FA">
      <w:numFmt w:val="decimal"/>
      <w:lvlText w:val=""/>
      <w:lvlJc w:val="left"/>
    </w:lvl>
    <w:lvl w:ilvl="8" w:tplc="243C5560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558"/>
    <w:rsid w:val="006008DB"/>
    <w:rsid w:val="008E5DD1"/>
    <w:rsid w:val="00C7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EFE08"/>
  <w15:docId w15:val="{57C50DF3-32C0-4433-9732-59F57828D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="Georgia" w:hAnsi="Georgia" w:cs="Georgia"/>
        <w:color w:val="1A1208"/>
        <w:sz w:val="22"/>
        <w:szCs w:val="22"/>
        <w:lang w:val="es-EC" w:eastAsia="es-EC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after="200"/>
      <w:outlineLvl w:val="0"/>
    </w:pPr>
    <w:rPr>
      <w:b/>
      <w:bCs/>
      <w:color w:val="7A1515"/>
      <w:sz w:val="40"/>
      <w:szCs w:val="40"/>
    </w:rPr>
  </w:style>
  <w:style w:type="paragraph" w:styleId="Ttulo2">
    <w:name w:val="heading 2"/>
    <w:uiPriority w:val="9"/>
    <w:unhideWhenUsed/>
    <w:qFormat/>
    <w:pPr>
      <w:spacing w:before="320" w:after="120"/>
      <w:outlineLvl w:val="1"/>
    </w:pPr>
    <w:rPr>
      <w:b/>
      <w:bCs/>
      <w:color w:val="7A1515"/>
      <w:sz w:val="26"/>
      <w:szCs w:val="26"/>
    </w:rPr>
  </w:style>
  <w:style w:type="paragraph" w:styleId="Ttulo3">
    <w:name w:val="heading 3"/>
    <w:uiPriority w:val="9"/>
    <w:semiHidden/>
    <w:unhideWhenUsed/>
    <w:qFormat/>
    <w:pPr>
      <w:spacing w:before="180" w:after="80"/>
      <w:outlineLvl w:val="2"/>
    </w:pPr>
    <w:rPr>
      <w:b/>
      <w:bCs/>
      <w:color w:val="555555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8E5DD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E5DD1"/>
  </w:style>
  <w:style w:type="paragraph" w:styleId="Piedepgina">
    <w:name w:val="footer"/>
    <w:basedOn w:val="Normal"/>
    <w:link w:val="PiedepginaCar"/>
    <w:uiPriority w:val="99"/>
    <w:unhideWhenUsed/>
    <w:rsid w:val="008E5DD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E5D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1462</Words>
  <Characters>8044</Characters>
  <Application>Microsoft Office Word</Application>
  <DocSecurity>0</DocSecurity>
  <Lines>67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Felipe Salazar Salvador</cp:lastModifiedBy>
  <cp:revision>2</cp:revision>
  <dcterms:created xsi:type="dcterms:W3CDTF">2026-06-26T04:27:00Z</dcterms:created>
  <dcterms:modified xsi:type="dcterms:W3CDTF">2026-06-26T04:27:00Z</dcterms:modified>
</cp:coreProperties>
</file>