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E5C40" w14:textId="77777777" w:rsidR="00212A15" w:rsidRDefault="00212A15">
      <w:pPr>
        <w:spacing w:before="160"/>
      </w:pPr>
    </w:p>
    <w:p w14:paraId="4605DDEA" w14:textId="40D06D87" w:rsidR="00212A15" w:rsidRDefault="001E3712">
      <w:pPr>
        <w:pStyle w:val="Ttulo1"/>
        <w:spacing w:after="120"/>
      </w:pPr>
      <w:r>
        <w:t xml:space="preserve">La </w:t>
      </w:r>
      <w:r w:rsidR="000823E4">
        <w:t>Maldición</w:t>
      </w:r>
      <w:r>
        <w:t xml:space="preserve"> del Hambre Eterna</w:t>
      </w:r>
    </w:p>
    <w:p w14:paraId="6A1F2B9A" w14:textId="77777777" w:rsidR="00212A15" w:rsidRDefault="001E3712">
      <w:pPr>
        <w:spacing w:after="60"/>
        <w:jc w:val="center"/>
      </w:pPr>
      <w:r>
        <w:rPr>
          <w:i/>
          <w:iCs/>
          <w:color w:val="555555"/>
          <w:sz w:val="24"/>
          <w:szCs w:val="24"/>
        </w:rPr>
        <w:t>Una historia de Tieflings, big IGF-2 y el precio de la sangre del Abismo</w:t>
      </w:r>
    </w:p>
    <w:p w14:paraId="48D8ABBB" w14:textId="22B27E2E" w:rsidR="00212A15" w:rsidRDefault="00126791">
      <w:pPr>
        <w:spacing w:after="60"/>
        <w:jc w:val="center"/>
      </w:pPr>
      <w:r>
        <w:rPr>
          <w:rFonts w:ascii="Arial" w:eastAsia="Arial" w:hAnsi="Arial" w:cs="Arial"/>
          <w:color w:val="888888"/>
          <w:sz w:val="17"/>
          <w:szCs w:val="17"/>
        </w:rPr>
        <w:t>Síndrome</w:t>
      </w:r>
      <w:r w:rsidR="001E3712">
        <w:rPr>
          <w:rFonts w:ascii="Arial" w:eastAsia="Arial" w:hAnsi="Arial" w:cs="Arial"/>
          <w:color w:val="888888"/>
          <w:sz w:val="17"/>
          <w:szCs w:val="17"/>
        </w:rPr>
        <w:t xml:space="preserve"> de </w:t>
      </w:r>
      <w:proofErr w:type="spellStart"/>
      <w:r w:rsidR="001E3712">
        <w:rPr>
          <w:rFonts w:ascii="Arial" w:eastAsia="Arial" w:hAnsi="Arial" w:cs="Arial"/>
          <w:color w:val="888888"/>
          <w:sz w:val="17"/>
          <w:szCs w:val="17"/>
        </w:rPr>
        <w:t>Doege</w:t>
      </w:r>
      <w:proofErr w:type="spellEnd"/>
      <w:r w:rsidR="001E3712">
        <w:rPr>
          <w:rFonts w:ascii="Arial" w:eastAsia="Arial" w:hAnsi="Arial" w:cs="Arial"/>
          <w:color w:val="888888"/>
          <w:sz w:val="17"/>
          <w:szCs w:val="17"/>
        </w:rPr>
        <w:t>-</w:t>
      </w:r>
      <w:r>
        <w:rPr>
          <w:rFonts w:ascii="Arial" w:eastAsia="Arial" w:hAnsi="Arial" w:cs="Arial"/>
          <w:color w:val="888888"/>
          <w:sz w:val="17"/>
          <w:szCs w:val="17"/>
        </w:rPr>
        <w:t>Potter | Medicina</w:t>
      </w:r>
      <w:r w:rsidR="001E3712">
        <w:rPr>
          <w:rFonts w:ascii="Arial" w:eastAsia="Arial" w:hAnsi="Arial" w:cs="Arial"/>
          <w:color w:val="888888"/>
          <w:sz w:val="17"/>
          <w:szCs w:val="17"/>
        </w:rPr>
        <w:t xml:space="preserve"> </w:t>
      </w:r>
      <w:r>
        <w:rPr>
          <w:rFonts w:ascii="Arial" w:eastAsia="Arial" w:hAnsi="Arial" w:cs="Arial"/>
          <w:color w:val="888888"/>
          <w:sz w:val="17"/>
          <w:szCs w:val="17"/>
        </w:rPr>
        <w:t xml:space="preserve">Narrativa | </w:t>
      </w:r>
      <w:proofErr w:type="spellStart"/>
      <w:r>
        <w:rPr>
          <w:rFonts w:ascii="Arial" w:eastAsia="Arial" w:hAnsi="Arial" w:cs="Arial"/>
          <w:color w:val="888888"/>
          <w:sz w:val="17"/>
          <w:szCs w:val="17"/>
        </w:rPr>
        <w:t>FOAMed</w:t>
      </w:r>
      <w:proofErr w:type="spellEnd"/>
    </w:p>
    <w:p w14:paraId="0FE2270D" w14:textId="07BEC0E7" w:rsidR="00212A15" w:rsidRDefault="00126791">
      <w:pPr>
        <w:pStyle w:val="Ttulo2"/>
        <w:spacing w:before="400" w:after="160"/>
      </w:pPr>
      <w:r>
        <w:rPr>
          <w:b w:val="0"/>
          <w:bCs w:val="0"/>
          <w:color w:val="A83010"/>
          <w:sz w:val="22"/>
          <w:szCs w:val="22"/>
        </w:rPr>
        <w:t>I · PROLOGO</w:t>
      </w:r>
      <w:r w:rsidR="001E3712">
        <w:t xml:space="preserve"> — LA SANGRE QUE TRAICIONA</w:t>
      </w:r>
    </w:p>
    <w:p w14:paraId="7200D791" w14:textId="1639D310" w:rsidR="00212A15" w:rsidRDefault="001E3712">
      <w:pPr>
        <w:spacing w:before="80" w:after="100"/>
        <w:jc w:val="both"/>
      </w:pPr>
      <w:r>
        <w:t xml:space="preserve">Dicen que los Tieflings heredan algo </w:t>
      </w:r>
      <w:r w:rsidR="000823E4">
        <w:t>más</w:t>
      </w:r>
      <w:r>
        <w:t xml:space="preserve"> que los cuernos y la cola de su ascendencia infernal. Dicen que en sus venas corre una memoria antigua, un contrato sin firmar entre sus ancestros y las entidades del Noveno Abismo — un contrato que el cuerpo nunca </w:t>
      </w:r>
      <w:r>
        <w:t>olvida, aunque la mente lo ignore.</w:t>
      </w:r>
    </w:p>
    <w:p w14:paraId="255AB835" w14:textId="2CCB1F5A" w:rsidR="00212A15" w:rsidRDefault="001E3712">
      <w:pPr>
        <w:spacing w:before="80" w:after="100"/>
        <w:jc w:val="both"/>
      </w:pPr>
      <w:r>
        <w:t xml:space="preserve">Dicen muchas cosas sobre los Tieflings. La </w:t>
      </w:r>
      <w:r w:rsidR="00126791">
        <w:t>mayoría</w:t>
      </w:r>
      <w:r>
        <w:t xml:space="preserve"> es mentira. Pero sobre </w:t>
      </w:r>
      <w:r>
        <w:rPr>
          <w:b/>
          <w:bCs/>
          <w:color w:val="7A1515"/>
        </w:rPr>
        <w:t>Torum Solis</w:t>
      </w:r>
      <w:r>
        <w:t>, casi todo era verdad.</w:t>
      </w:r>
    </w:p>
    <w:p w14:paraId="24599DB3" w14:textId="34C5879E" w:rsidR="00212A15" w:rsidRDefault="001E3712">
      <w:pPr>
        <w:spacing w:before="80" w:after="100"/>
        <w:jc w:val="both"/>
      </w:pPr>
      <w:r>
        <w:t xml:space="preserve">Torum </w:t>
      </w:r>
      <w:r w:rsidR="00D966CC">
        <w:t>tenía</w:t>
      </w:r>
      <w:r>
        <w:t xml:space="preserve"> cuarenta y tres </w:t>
      </w:r>
      <w:r w:rsidR="00D966CC">
        <w:t>años</w:t>
      </w:r>
      <w:r>
        <w:t xml:space="preserve">, aunque aparentaba diez </w:t>
      </w:r>
      <w:r w:rsidR="00D966CC">
        <w:t>más</w:t>
      </w:r>
      <w:r>
        <w:t xml:space="preserve">. </w:t>
      </w:r>
      <w:r w:rsidR="000E5576">
        <w:t>Tenía</w:t>
      </w:r>
      <w:r>
        <w:t xml:space="preserve"> cuernos curvos del color del </w:t>
      </w:r>
      <w:r w:rsidR="000E5576">
        <w:t>carbón, una</w:t>
      </w:r>
      <w:r>
        <w:t xml:space="preserve"> cola que enroscaba involuntariamente cuando estaba nervioso, y unos ojos que brillaban con luz propia en la oscuridad — un </w:t>
      </w:r>
      <w:r w:rsidR="000E5576">
        <w:t>ámbar</w:t>
      </w:r>
      <w:r>
        <w:t xml:space="preserve"> </w:t>
      </w:r>
      <w:r w:rsidR="000E5576">
        <w:t>cálido</w:t>
      </w:r>
      <w:r>
        <w:t xml:space="preserve"> que algunos encontraban hermoso y otros, perturbador. </w:t>
      </w:r>
      <w:r w:rsidR="000E5576">
        <w:t>Tenía</w:t>
      </w:r>
      <w:r>
        <w:t xml:space="preserve"> </w:t>
      </w:r>
      <w:r w:rsidR="000E5576">
        <w:t>también</w:t>
      </w:r>
      <w:r>
        <w:t xml:space="preserve"> algo que </w:t>
      </w:r>
      <w:r w:rsidR="000E5576">
        <w:t>ningún</w:t>
      </w:r>
      <w:r>
        <w:t xml:space="preserve"> otro Tiefling de la Ciudad Libr</w:t>
      </w:r>
      <w:r>
        <w:t xml:space="preserve">e de Astervane </w:t>
      </w:r>
      <w:r w:rsidR="000E5576">
        <w:t>compartía</w:t>
      </w:r>
      <w:r>
        <w:t>:</w:t>
      </w:r>
    </w:p>
    <w:p w14:paraId="1D03AAB4" w14:textId="5E7AB31A" w:rsidR="00212A15" w:rsidRDefault="001E3712">
      <w:pPr>
        <w:spacing w:before="80" w:after="100"/>
        <w:jc w:val="both"/>
      </w:pPr>
      <w:r>
        <w:rPr>
          <w:b/>
          <w:bCs/>
          <w:color w:val="7A1515"/>
        </w:rPr>
        <w:t xml:space="preserve">Siempre </w:t>
      </w:r>
      <w:r w:rsidR="000E5576">
        <w:rPr>
          <w:b/>
          <w:bCs/>
          <w:color w:val="7A1515"/>
        </w:rPr>
        <w:t>tenía</w:t>
      </w:r>
      <w:r>
        <w:rPr>
          <w:b/>
          <w:bCs/>
          <w:color w:val="7A1515"/>
        </w:rPr>
        <w:t xml:space="preserve"> hambre.</w:t>
      </w:r>
    </w:p>
    <w:p w14:paraId="30B88A97" w14:textId="77777777" w:rsidR="00212A15" w:rsidRDefault="00212A15">
      <w:pPr>
        <w:spacing w:before="120"/>
      </w:pPr>
    </w:p>
    <w:p w14:paraId="32A99C79" w14:textId="0C680F34" w:rsidR="00212A15" w:rsidRDefault="001E3712">
      <w:pPr>
        <w:spacing w:before="80" w:after="100"/>
        <w:jc w:val="both"/>
      </w:pPr>
      <w:r>
        <w:t xml:space="preserve">No era el hambre normal del aventurero que olvido desayunar. No era el </w:t>
      </w:r>
      <w:r w:rsidR="000E5576">
        <w:t>vacío</w:t>
      </w:r>
      <w:r>
        <w:t xml:space="preserve"> placentero que antecede a una buena comida. Era un hambre que </w:t>
      </w:r>
      <w:r w:rsidR="000E5576">
        <w:t>vivía</w:t>
      </w:r>
      <w:r>
        <w:t xml:space="preserve"> en sus huesos, que le </w:t>
      </w:r>
      <w:r w:rsidR="000E5576">
        <w:t>mordía</w:t>
      </w:r>
      <w:r>
        <w:t xml:space="preserve"> el </w:t>
      </w:r>
      <w:r w:rsidR="000E5576">
        <w:t>estómago</w:t>
      </w:r>
      <w:r>
        <w:t xml:space="preserve"> incluso </w:t>
      </w:r>
      <w:r w:rsidR="000E5576">
        <w:t>después</w:t>
      </w:r>
      <w:r>
        <w:t xml:space="preserve"> de tr</w:t>
      </w:r>
      <w:r>
        <w:t xml:space="preserve">es raciones de viaje, que </w:t>
      </w:r>
      <w:r w:rsidR="000E5576">
        <w:t>aparecía</w:t>
      </w:r>
      <w:r>
        <w:t xml:space="preserve"> a las tres de la madrugada con la fuerza de un hechizo de </w:t>
      </w:r>
      <w:r w:rsidR="000E5576">
        <w:t>privación</w:t>
      </w:r>
      <w:r>
        <w:t>.</w:t>
      </w:r>
    </w:p>
    <w:p w14:paraId="2FE48ABA" w14:textId="0B81B09D" w:rsidR="00212A15" w:rsidRDefault="001E3712">
      <w:pPr>
        <w:spacing w:before="80" w:after="100"/>
        <w:jc w:val="both"/>
      </w:pPr>
      <w:r>
        <w:t xml:space="preserve">Sus </w:t>
      </w:r>
      <w:r w:rsidR="000E5576">
        <w:t>compañeros</w:t>
      </w:r>
      <w:r>
        <w:t xml:space="preserve"> de </w:t>
      </w:r>
      <w:r w:rsidR="000E5576">
        <w:t>compañía</w:t>
      </w:r>
      <w:r>
        <w:t xml:space="preserve"> — </w:t>
      </w:r>
      <w:r>
        <w:rPr>
          <w:b/>
          <w:bCs/>
          <w:color w:val="7A1515"/>
        </w:rPr>
        <w:t>Marcus</w:t>
      </w:r>
      <w:r>
        <w:t xml:space="preserve">, el </w:t>
      </w:r>
      <w:r w:rsidR="000E5576">
        <w:t>clérigo</w:t>
      </w:r>
      <w:r>
        <w:t xml:space="preserve"> enano; </w:t>
      </w:r>
      <w:r>
        <w:rPr>
          <w:b/>
          <w:bCs/>
          <w:color w:val="7A1515"/>
        </w:rPr>
        <w:t>Vic</w:t>
      </w:r>
      <w:r>
        <w:t xml:space="preserve">, </w:t>
      </w:r>
      <w:r w:rsidR="000E5576">
        <w:t>el druida</w:t>
      </w:r>
      <w:r>
        <w:t xml:space="preserve">; y </w:t>
      </w:r>
      <w:r>
        <w:rPr>
          <w:b/>
          <w:bCs/>
          <w:color w:val="7A1515"/>
        </w:rPr>
        <w:t>Aryam</w:t>
      </w:r>
      <w:r>
        <w:t xml:space="preserve">, el Halfling — </w:t>
      </w:r>
      <w:r w:rsidR="000E5576">
        <w:t>habían</w:t>
      </w:r>
      <w:r>
        <w:t xml:space="preserve"> aprendido a reconocer las </w:t>
      </w:r>
      <w:r w:rsidR="000E5576">
        <w:t>señales</w:t>
      </w:r>
      <w:r>
        <w:t>.</w:t>
      </w:r>
    </w:p>
    <w:p w14:paraId="6DAAC0F5" w14:textId="77777777" w:rsidR="00212A15" w:rsidRDefault="00212A1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212A15" w14:paraId="630F880C"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F4F0FA"/>
            <w:tcMar>
              <w:top w:w="120" w:type="dxa"/>
              <w:left w:w="80" w:type="dxa"/>
              <w:bottom w:w="120" w:type="dxa"/>
              <w:right w:w="80" w:type="dxa"/>
            </w:tcMar>
            <w:vAlign w:val="center"/>
          </w:tcPr>
          <w:p w14:paraId="4AB96A78" w14:textId="77777777" w:rsidR="00212A15" w:rsidRDefault="001E3712">
            <w:pPr>
              <w:jc w:val="center"/>
            </w:pPr>
            <w:r>
              <w:rPr>
                <w:b/>
                <w:bCs/>
                <w:color w:val="A83010"/>
                <w:sz w:val="34"/>
                <w:szCs w:val="34"/>
              </w:rPr>
              <w:t>32</w:t>
            </w:r>
          </w:p>
          <w:p w14:paraId="463653FC" w14:textId="77777777" w:rsidR="00212A15" w:rsidRDefault="001E3712">
            <w:pPr>
              <w:jc w:val="center"/>
            </w:pPr>
            <w:r>
              <w:rPr>
                <w:rFonts w:ascii="Arial" w:eastAsia="Arial" w:hAnsi="Arial" w:cs="Arial"/>
                <w:color w:val="888888"/>
                <w:sz w:val="16"/>
                <w:szCs w:val="16"/>
              </w:rPr>
              <w:t>glucemia (cristal de roca)</w:t>
            </w:r>
          </w:p>
        </w:tc>
        <w:tc>
          <w:tcPr>
            <w:tcW w:w="2340" w:type="dxa"/>
            <w:tcBorders>
              <w:top w:val="single" w:sz="1" w:space="0" w:color="CCCCCC"/>
              <w:left w:val="single" w:sz="1" w:space="0" w:color="CCCCCC"/>
              <w:bottom w:val="single" w:sz="1" w:space="0" w:color="CCCCCC"/>
              <w:right w:val="single" w:sz="1" w:space="0" w:color="CCCCCC"/>
            </w:tcBorders>
            <w:shd w:val="clear" w:color="auto" w:fill="F4F0FA"/>
            <w:tcMar>
              <w:top w:w="120" w:type="dxa"/>
              <w:left w:w="80" w:type="dxa"/>
              <w:bottom w:w="120" w:type="dxa"/>
              <w:right w:w="80" w:type="dxa"/>
            </w:tcMar>
            <w:vAlign w:val="center"/>
          </w:tcPr>
          <w:p w14:paraId="2D40D4F2" w14:textId="77777777" w:rsidR="00212A15" w:rsidRDefault="001E3712">
            <w:pPr>
              <w:jc w:val="center"/>
            </w:pPr>
            <w:r>
              <w:rPr>
                <w:b/>
                <w:bCs/>
                <w:color w:val="A83010"/>
                <w:sz w:val="34"/>
                <w:szCs w:val="34"/>
              </w:rPr>
              <w:t>vv</w:t>
            </w:r>
          </w:p>
          <w:p w14:paraId="2B361F0F" w14:textId="77777777" w:rsidR="00212A15" w:rsidRDefault="001E3712">
            <w:pPr>
              <w:jc w:val="center"/>
            </w:pPr>
            <w:r>
              <w:rPr>
                <w:rFonts w:ascii="Arial" w:eastAsia="Arial" w:hAnsi="Arial" w:cs="Arial"/>
                <w:color w:val="888888"/>
                <w:sz w:val="16"/>
                <w:szCs w:val="16"/>
              </w:rPr>
              <w:t>insulina suprimida</w:t>
            </w:r>
          </w:p>
        </w:tc>
        <w:tc>
          <w:tcPr>
            <w:tcW w:w="2340" w:type="dxa"/>
            <w:tcBorders>
              <w:top w:val="single" w:sz="1" w:space="0" w:color="CCCCCC"/>
              <w:left w:val="single" w:sz="1" w:space="0" w:color="CCCCCC"/>
              <w:bottom w:val="single" w:sz="1" w:space="0" w:color="CCCCCC"/>
              <w:right w:val="single" w:sz="1" w:space="0" w:color="CCCCCC"/>
            </w:tcBorders>
            <w:shd w:val="clear" w:color="auto" w:fill="F4F0FA"/>
            <w:tcMar>
              <w:top w:w="120" w:type="dxa"/>
              <w:left w:w="80" w:type="dxa"/>
              <w:bottom w:w="120" w:type="dxa"/>
              <w:right w:w="80" w:type="dxa"/>
            </w:tcMar>
            <w:vAlign w:val="center"/>
          </w:tcPr>
          <w:p w14:paraId="56523F71" w14:textId="77777777" w:rsidR="00212A15" w:rsidRDefault="001E3712">
            <w:pPr>
              <w:jc w:val="center"/>
            </w:pPr>
            <w:r>
              <w:rPr>
                <w:b/>
                <w:bCs/>
                <w:color w:val="A83010"/>
                <w:sz w:val="34"/>
                <w:szCs w:val="34"/>
              </w:rPr>
              <w:t>38:1</w:t>
            </w:r>
          </w:p>
          <w:p w14:paraId="2C58A659" w14:textId="77777777" w:rsidR="00212A15" w:rsidRDefault="001E3712">
            <w:pPr>
              <w:jc w:val="center"/>
            </w:pPr>
            <w:r>
              <w:rPr>
                <w:rFonts w:ascii="Arial" w:eastAsia="Arial" w:hAnsi="Arial" w:cs="Arial"/>
                <w:color w:val="888888"/>
                <w:sz w:val="16"/>
                <w:szCs w:val="16"/>
              </w:rPr>
              <w:t>ratio IGF-2 / IGF-1</w:t>
            </w:r>
          </w:p>
        </w:tc>
        <w:tc>
          <w:tcPr>
            <w:tcW w:w="2340" w:type="dxa"/>
            <w:tcBorders>
              <w:top w:val="single" w:sz="1" w:space="0" w:color="CCCCCC"/>
              <w:left w:val="single" w:sz="1" w:space="0" w:color="CCCCCC"/>
              <w:bottom w:val="single" w:sz="1" w:space="0" w:color="CCCCCC"/>
              <w:right w:val="single" w:sz="1" w:space="0" w:color="CCCCCC"/>
            </w:tcBorders>
            <w:shd w:val="clear" w:color="auto" w:fill="F4F0FA"/>
            <w:tcMar>
              <w:top w:w="120" w:type="dxa"/>
              <w:left w:w="80" w:type="dxa"/>
              <w:bottom w:w="120" w:type="dxa"/>
              <w:right w:w="80" w:type="dxa"/>
            </w:tcMar>
            <w:vAlign w:val="center"/>
          </w:tcPr>
          <w:p w14:paraId="5FF26512" w14:textId="77777777" w:rsidR="00212A15" w:rsidRDefault="001E3712">
            <w:pPr>
              <w:jc w:val="center"/>
            </w:pPr>
            <w:r>
              <w:rPr>
                <w:b/>
                <w:bCs/>
                <w:color w:val="A83010"/>
                <w:sz w:val="34"/>
                <w:szCs w:val="34"/>
              </w:rPr>
              <w:t>^^</w:t>
            </w:r>
          </w:p>
          <w:p w14:paraId="711C3AFA" w14:textId="77777777" w:rsidR="00212A15" w:rsidRDefault="001E3712">
            <w:pPr>
              <w:jc w:val="center"/>
            </w:pPr>
            <w:r>
              <w:rPr>
                <w:rFonts w:ascii="Arial" w:eastAsia="Arial" w:hAnsi="Arial" w:cs="Arial"/>
                <w:color w:val="888888"/>
                <w:sz w:val="16"/>
                <w:szCs w:val="16"/>
              </w:rPr>
              <w:t>big IGF-2 elevado</w:t>
            </w:r>
          </w:p>
        </w:tc>
      </w:tr>
    </w:tbl>
    <w:p w14:paraId="65E31EAE" w14:textId="77777777" w:rsidR="00212A15" w:rsidRDefault="00212A15">
      <w:pPr>
        <w:spacing w:before="200"/>
      </w:pPr>
    </w:p>
    <w:p w14:paraId="551CEFBF" w14:textId="15829287" w:rsidR="00212A15" w:rsidRDefault="000E5576">
      <w:pPr>
        <w:pStyle w:val="Ttulo2"/>
        <w:spacing w:before="400" w:after="160"/>
      </w:pPr>
      <w:r>
        <w:rPr>
          <w:b w:val="0"/>
          <w:bCs w:val="0"/>
          <w:color w:val="A83010"/>
          <w:sz w:val="22"/>
          <w:szCs w:val="22"/>
        </w:rPr>
        <w:t>II · EL</w:t>
      </w:r>
      <w:r w:rsidR="001E3712">
        <w:t xml:space="preserve"> EPISODIO EN LA TABERNA DEL ANCLA ROTA</w:t>
      </w:r>
    </w:p>
    <w:p w14:paraId="522659DD" w14:textId="77777777" w:rsidR="00212A15" w:rsidRDefault="001E3712">
      <w:pPr>
        <w:spacing w:before="80" w:after="100"/>
        <w:jc w:val="both"/>
      </w:pPr>
      <w:r>
        <w:t>Fue Aryam quien lo vio caer primero.</w:t>
      </w:r>
    </w:p>
    <w:p w14:paraId="24524735" w14:textId="3E0CE69B" w:rsidR="00212A15" w:rsidRDefault="00E05CC6">
      <w:pPr>
        <w:spacing w:before="80" w:after="100"/>
        <w:jc w:val="both"/>
      </w:pPr>
      <w:r>
        <w:t>Habían</w:t>
      </w:r>
      <w:r w:rsidR="001E3712">
        <w:t xml:space="preserve"> terminado una mazmorra menor — sin grandes ganancias, apenas un cof</w:t>
      </w:r>
      <w:r w:rsidR="001E3712">
        <w:t xml:space="preserve">re con treinta monedas de plata y una </w:t>
      </w:r>
      <w:r>
        <w:t>opción</w:t>
      </w:r>
      <w:r w:rsidR="001E3712">
        <w:t xml:space="preserve"> de </w:t>
      </w:r>
      <w:r>
        <w:t>curación</w:t>
      </w:r>
      <w:r w:rsidR="001E3712">
        <w:t xml:space="preserve"> vencida — y celebraban en la Taberna del Ancla Rota con jarras de hidromiel tibio y un estofado que el cocinero llamaba pomposamente "Guiso del Dragon" pero que era, esencialmente, papas con hueso de</w:t>
      </w:r>
      <w:r w:rsidR="001E3712">
        <w:t xml:space="preserve"> buey.</w:t>
      </w:r>
    </w:p>
    <w:p w14:paraId="03828085" w14:textId="49922D73" w:rsidR="00212A15" w:rsidRDefault="001E3712">
      <w:pPr>
        <w:spacing w:before="80" w:after="100"/>
        <w:jc w:val="both"/>
      </w:pPr>
      <w:r>
        <w:t xml:space="preserve">Torum </w:t>
      </w:r>
      <w:r w:rsidR="00E05CC6">
        <w:t>había</w:t>
      </w:r>
      <w:r>
        <w:t xml:space="preserve"> comido. Todos lo </w:t>
      </w:r>
      <w:r w:rsidR="00E05CC6">
        <w:t>habían</w:t>
      </w:r>
      <w:r>
        <w:t xml:space="preserve"> visto comer. Una </w:t>
      </w:r>
      <w:r w:rsidR="00E05CC6">
        <w:t>ración</w:t>
      </w:r>
      <w:r>
        <w:t xml:space="preserve"> entera, luego la mitad de la de Aryam (el Halfling, acostumbrado, </w:t>
      </w:r>
      <w:r w:rsidR="002E0BD7">
        <w:t>el cedido</w:t>
      </w:r>
      <w:r>
        <w:t xml:space="preserve"> sin protestar), luego dos cuencos de pan con grasa. </w:t>
      </w:r>
      <w:r w:rsidR="002E0BD7">
        <w:t>Y,</w:t>
      </w:r>
      <w:r>
        <w:t xml:space="preserve"> aun </w:t>
      </w:r>
      <w:r w:rsidR="002E0BD7">
        <w:t>así</w:t>
      </w:r>
      <w:r>
        <w:t xml:space="preserve">, a mitad de la segunda jarra, el Tiefling </w:t>
      </w:r>
      <w:r w:rsidR="002E0BD7">
        <w:t>empezó</w:t>
      </w:r>
      <w:r>
        <w:t xml:space="preserve"> a cambiar</w:t>
      </w:r>
      <w:r>
        <w:t>.</w:t>
      </w:r>
    </w:p>
    <w:p w14:paraId="40890DA3" w14:textId="48EAA973" w:rsidR="00212A15" w:rsidRDefault="001E3712">
      <w:pPr>
        <w:spacing w:before="80" w:after="100"/>
        <w:jc w:val="both"/>
      </w:pPr>
      <w:r>
        <w:lastRenderedPageBreak/>
        <w:t xml:space="preserve">Primero las manos — un temblor fino que hacia </w:t>
      </w:r>
      <w:r w:rsidR="002E0BD7">
        <w:t>tintinear</w:t>
      </w:r>
      <w:r>
        <w:t xml:space="preserve"> la jarra contra la madera. Luego la piel bajo sus marcas infernales se </w:t>
      </w:r>
      <w:r w:rsidR="002E0BD7">
        <w:t>volvió</w:t>
      </w:r>
      <w:r>
        <w:t xml:space="preserve"> </w:t>
      </w:r>
      <w:r w:rsidR="002E0BD7">
        <w:t>húmeda</w:t>
      </w:r>
      <w:r>
        <w:t xml:space="preserve"> como piedra en caverna. Luego los ojos — ese </w:t>
      </w:r>
      <w:r w:rsidR="002E0BD7">
        <w:t>ámbar</w:t>
      </w:r>
      <w:r>
        <w:t xml:space="preserve"> </w:t>
      </w:r>
      <w:r w:rsidR="002E0BD7">
        <w:t>cálido</w:t>
      </w:r>
      <w:r>
        <w:t xml:space="preserve"> </w:t>
      </w:r>
      <w:r w:rsidR="002E0BD7">
        <w:t>apagándose</w:t>
      </w:r>
      <w:r>
        <w:t xml:space="preserve"> como brasa sin viento.</w:t>
      </w:r>
    </w:p>
    <w:p w14:paraId="64DCFD34" w14:textId="7FF20B10" w:rsidR="00212A15" w:rsidRDefault="001E3712">
      <w:pPr>
        <w:spacing w:before="60" w:after="100"/>
        <w:ind w:left="400"/>
        <w:jc w:val="both"/>
      </w:pPr>
      <w:r>
        <w:rPr>
          <w:b/>
          <w:bCs/>
          <w:i/>
          <w:iCs/>
          <w:color w:val="A83010"/>
        </w:rPr>
        <w:t xml:space="preserve">— Vic: </w:t>
      </w:r>
      <w:r>
        <w:rPr>
          <w:i/>
          <w:iCs/>
        </w:rPr>
        <w:t xml:space="preserve">Torum. </w:t>
      </w:r>
      <w:r w:rsidR="002E0BD7">
        <w:rPr>
          <w:i/>
          <w:iCs/>
        </w:rPr>
        <w:t>Mírame</w:t>
      </w:r>
      <w:r>
        <w:rPr>
          <w:i/>
          <w:iCs/>
        </w:rPr>
        <w:t>.</w:t>
      </w:r>
    </w:p>
    <w:p w14:paraId="0CEAAFAD" w14:textId="73F85318" w:rsidR="00212A15" w:rsidRDefault="001E3712">
      <w:pPr>
        <w:spacing w:before="80" w:after="100"/>
        <w:jc w:val="both"/>
      </w:pPr>
      <w:r>
        <w:t xml:space="preserve">Pero Torum ya no estaba del todo </w:t>
      </w:r>
      <w:r w:rsidR="002E0BD7">
        <w:t>ahí</w:t>
      </w:r>
      <w:r>
        <w:t xml:space="preserve">. Murmuraba en Infernal — maldiciones o rezos, nadie supo distinguirlos — y cuando Marcus le tomo el brazo, el Tiefling se </w:t>
      </w:r>
      <w:r w:rsidR="002E0BD7">
        <w:t>sacudió</w:t>
      </w:r>
      <w:r>
        <w:t xml:space="preserve"> con una agresividad que no era la suya, ojos ciegos, cola </w:t>
      </w:r>
      <w:r w:rsidR="002E0BD7">
        <w:t>rígida</w:t>
      </w:r>
      <w:r>
        <w:t xml:space="preserve"> como lanza.</w:t>
      </w:r>
    </w:p>
    <w:p w14:paraId="22623606" w14:textId="77777777" w:rsidR="00212A15" w:rsidRDefault="00212A1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212A15" w14:paraId="62555B85" w14:textId="77777777">
        <w:tblPrEx>
          <w:tblCellMar>
            <w:top w:w="0" w:type="dxa"/>
            <w:bottom w:w="0" w:type="dxa"/>
          </w:tblCellMar>
        </w:tblPrEx>
        <w:tc>
          <w:tcPr>
            <w:tcW w:w="180" w:type="dxa"/>
            <w:tcBorders>
              <w:top w:val="none" w:sz="0" w:space="0" w:color="FFFFFF"/>
              <w:left w:val="single" w:sz="18" w:space="0" w:color="7A1515"/>
              <w:bottom w:val="none" w:sz="0" w:space="0" w:color="FFFFFF"/>
              <w:right w:val="none" w:sz="0" w:space="0" w:color="FFFFFF"/>
            </w:tcBorders>
          </w:tcPr>
          <w:p w14:paraId="2CBF442C" w14:textId="77777777" w:rsidR="00212A15" w:rsidRDefault="00212A15"/>
        </w:tc>
        <w:tc>
          <w:tcPr>
            <w:tcW w:w="9180" w:type="dxa"/>
            <w:tcBorders>
              <w:top w:val="none" w:sz="0" w:space="0" w:color="FFFFFF"/>
              <w:left w:val="none" w:sz="0" w:space="0" w:color="FFFFFF"/>
              <w:bottom w:val="none" w:sz="0" w:space="0" w:color="FFFFFF"/>
              <w:right w:val="none" w:sz="0" w:space="0" w:color="FFFFFF"/>
            </w:tcBorders>
            <w:shd w:val="clear" w:color="auto" w:fill="FDF0F0"/>
            <w:tcMar>
              <w:top w:w="140" w:type="dxa"/>
              <w:left w:w="220" w:type="dxa"/>
              <w:bottom w:w="140" w:type="dxa"/>
              <w:right w:w="140" w:type="dxa"/>
            </w:tcMar>
          </w:tcPr>
          <w:p w14:paraId="40A7041B" w14:textId="33B8FFB1" w:rsidR="00212A15" w:rsidRDefault="001E3712">
            <w:pPr>
              <w:jc w:val="both"/>
            </w:pPr>
            <w:r>
              <w:rPr>
                <w:i/>
                <w:iCs/>
                <w:color w:val="7A3030"/>
                <w:sz w:val="23"/>
                <w:szCs w:val="23"/>
              </w:rPr>
              <w:t>No era ag</w:t>
            </w:r>
            <w:r>
              <w:rPr>
                <w:i/>
                <w:iCs/>
                <w:color w:val="7A3030"/>
                <w:sz w:val="23"/>
                <w:szCs w:val="23"/>
              </w:rPr>
              <w:t xml:space="preserve">resividad — era el cerebro de Torum combatiendo su propia </w:t>
            </w:r>
            <w:r w:rsidR="002E0BD7">
              <w:rPr>
                <w:i/>
                <w:iCs/>
                <w:color w:val="7A3030"/>
                <w:sz w:val="23"/>
                <w:szCs w:val="23"/>
              </w:rPr>
              <w:t>extinción</w:t>
            </w:r>
            <w:r>
              <w:rPr>
                <w:i/>
                <w:iCs/>
                <w:color w:val="7A3030"/>
                <w:sz w:val="23"/>
                <w:szCs w:val="23"/>
              </w:rPr>
              <w:t xml:space="preserve">. Cuando la glucosa cae debajo del umbral, la corteza prefrontal apaga primero sus luces. Lo que queda no es maldad: es </w:t>
            </w:r>
            <w:r w:rsidR="002E0BD7">
              <w:rPr>
                <w:i/>
                <w:iCs/>
                <w:color w:val="7A3030"/>
                <w:sz w:val="23"/>
                <w:szCs w:val="23"/>
              </w:rPr>
              <w:t>biología</w:t>
            </w:r>
            <w:r>
              <w:rPr>
                <w:i/>
                <w:iCs/>
                <w:color w:val="7A3030"/>
                <w:sz w:val="23"/>
                <w:szCs w:val="23"/>
              </w:rPr>
              <w:t xml:space="preserve"> primitiva luchando por sobrevivir.</w:t>
            </w:r>
          </w:p>
        </w:tc>
      </w:tr>
    </w:tbl>
    <w:p w14:paraId="7FA4E3BD" w14:textId="77777777" w:rsidR="00212A15" w:rsidRDefault="00212A15">
      <w:pPr>
        <w:spacing w:before="80"/>
      </w:pPr>
    </w:p>
    <w:p w14:paraId="73C1D579" w14:textId="3E77580A" w:rsidR="00212A15" w:rsidRDefault="001E3712">
      <w:pPr>
        <w:spacing w:before="60" w:after="100"/>
        <w:ind w:left="400"/>
        <w:jc w:val="both"/>
      </w:pPr>
      <w:r>
        <w:rPr>
          <w:b/>
          <w:bCs/>
          <w:i/>
          <w:iCs/>
          <w:color w:val="A83010"/>
        </w:rPr>
        <w:t xml:space="preserve">— Vic: </w:t>
      </w:r>
      <w:r>
        <w:rPr>
          <w:i/>
          <w:iCs/>
        </w:rPr>
        <w:t xml:space="preserve">Neuroglucopenia. Su cerebro se </w:t>
      </w:r>
      <w:r w:rsidR="002E0BD7">
        <w:rPr>
          <w:i/>
          <w:iCs/>
        </w:rPr>
        <w:t>está</w:t>
      </w:r>
      <w:r>
        <w:rPr>
          <w:i/>
          <w:iCs/>
        </w:rPr>
        <w:t xml:space="preserve"> quedando sin combustible.</w:t>
      </w:r>
    </w:p>
    <w:p w14:paraId="6E27810F" w14:textId="0196D060" w:rsidR="00212A15" w:rsidRDefault="001E3712">
      <w:pPr>
        <w:spacing w:before="80" w:after="100"/>
        <w:jc w:val="both"/>
      </w:pPr>
      <w:r>
        <w:t xml:space="preserve">Marcus </w:t>
      </w:r>
      <w:r w:rsidR="002E0BD7">
        <w:t>había</w:t>
      </w:r>
      <w:r>
        <w:t xml:space="preserve"> sacado el cristal de </w:t>
      </w:r>
      <w:r w:rsidR="002E0BD7">
        <w:t>medición</w:t>
      </w:r>
      <w:r>
        <w:t xml:space="preserve"> — un artefacto encantado del </w:t>
      </w:r>
      <w:r w:rsidR="002E0BD7">
        <w:t>tamaño</w:t>
      </w:r>
      <w:r>
        <w:t xml:space="preserve"> de un pulgar que viraba de azul a rojo </w:t>
      </w:r>
      <w:r w:rsidR="002E0BD7">
        <w:t>según</w:t>
      </w:r>
      <w:r>
        <w:t xml:space="preserve"> la glucosa en la sangre del paciente. Lo </w:t>
      </w:r>
      <w:r w:rsidR="002E0BD7">
        <w:t>prenso</w:t>
      </w:r>
      <w:r>
        <w:t xml:space="preserve"> contra el dedo de Tor</w:t>
      </w:r>
      <w:r>
        <w:t xml:space="preserve">um. El cristal </w:t>
      </w:r>
      <w:r w:rsidR="002E0BD7">
        <w:t>ardió</w:t>
      </w:r>
      <w:r>
        <w:t xml:space="preserve"> </w:t>
      </w:r>
      <w:r>
        <w:rPr>
          <w:b/>
          <w:bCs/>
          <w:color w:val="7A1515"/>
        </w:rPr>
        <w:t xml:space="preserve">rojo </w:t>
      </w:r>
      <w:r w:rsidR="002E0BD7">
        <w:rPr>
          <w:b/>
          <w:bCs/>
          <w:color w:val="7A1515"/>
        </w:rPr>
        <w:t>carmesí</w:t>
      </w:r>
      <w:r>
        <w:rPr>
          <w:b/>
          <w:bCs/>
          <w:color w:val="7A1515"/>
        </w:rPr>
        <w:t>.</w:t>
      </w:r>
    </w:p>
    <w:p w14:paraId="7C8F1142" w14:textId="414B2F91" w:rsidR="00212A15" w:rsidRDefault="001E3712">
      <w:pPr>
        <w:spacing w:before="60" w:after="100"/>
        <w:ind w:left="400"/>
        <w:jc w:val="both"/>
      </w:pPr>
      <w:r>
        <w:rPr>
          <w:b/>
          <w:bCs/>
          <w:i/>
          <w:iCs/>
          <w:color w:val="A83010"/>
        </w:rPr>
        <w:t xml:space="preserve">— Marcus: </w:t>
      </w:r>
      <w:r>
        <w:rPr>
          <w:i/>
          <w:iCs/>
        </w:rPr>
        <w:t xml:space="preserve">Treinta y dos. Necesita </w:t>
      </w:r>
      <w:r w:rsidR="002E0BD7">
        <w:rPr>
          <w:i/>
          <w:iCs/>
        </w:rPr>
        <w:t>azúcar</w:t>
      </w:r>
      <w:r>
        <w:rPr>
          <w:i/>
          <w:iCs/>
        </w:rPr>
        <w:t>. Ahora.</w:t>
      </w:r>
    </w:p>
    <w:p w14:paraId="17961813" w14:textId="77777777" w:rsidR="00212A15" w:rsidRDefault="00212A15">
      <w:pPr>
        <w:spacing w:before="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12A15" w14:paraId="7DF9EDCD" w14:textId="77777777">
        <w:tblPrEx>
          <w:tblCellMar>
            <w:top w:w="0" w:type="dxa"/>
            <w:bottom w:w="0" w:type="dxa"/>
          </w:tblCellMar>
        </w:tblPrEx>
        <w:tc>
          <w:tcPr>
            <w:tcW w:w="9360" w:type="dxa"/>
            <w:tcBorders>
              <w:top w:val="single" w:sz="1" w:space="0" w:color="334488"/>
              <w:left w:val="single" w:sz="14" w:space="0" w:color="334488"/>
              <w:bottom w:val="none" w:sz="0" w:space="0" w:color="FFFFFF"/>
              <w:right w:val="none" w:sz="0" w:space="0" w:color="FFFFFF"/>
            </w:tcBorders>
            <w:shd w:val="clear" w:color="auto" w:fill="EEF3FA"/>
            <w:tcMar>
              <w:top w:w="100" w:type="dxa"/>
              <w:left w:w="200" w:type="dxa"/>
              <w:bottom w:w="0" w:type="dxa"/>
              <w:right w:w="160" w:type="dxa"/>
            </w:tcMar>
          </w:tcPr>
          <w:p w14:paraId="7426578F" w14:textId="77777777" w:rsidR="00212A15" w:rsidRDefault="001E3712">
            <w:r>
              <w:rPr>
                <w:rFonts w:ascii="Arial" w:eastAsia="Arial" w:hAnsi="Arial" w:cs="Arial"/>
                <w:b/>
                <w:bCs/>
                <w:color w:val="334488"/>
                <w:sz w:val="17"/>
                <w:szCs w:val="17"/>
              </w:rPr>
              <w:t>Triada de Whipple</w:t>
            </w:r>
          </w:p>
        </w:tc>
      </w:tr>
      <w:tr w:rsidR="00212A15" w14:paraId="34A14D38" w14:textId="77777777">
        <w:tblPrEx>
          <w:tblCellMar>
            <w:top w:w="0" w:type="dxa"/>
            <w:bottom w:w="0" w:type="dxa"/>
          </w:tblCellMar>
        </w:tblPrEx>
        <w:tc>
          <w:tcPr>
            <w:tcW w:w="9360" w:type="dxa"/>
            <w:tcBorders>
              <w:top w:val="none" w:sz="0" w:space="0" w:color="FFFFFF"/>
              <w:left w:val="single" w:sz="14" w:space="0" w:color="334488"/>
              <w:bottom w:val="single" w:sz="1" w:space="0" w:color="334488"/>
              <w:right w:val="none" w:sz="0" w:space="0" w:color="FFFFFF"/>
            </w:tcBorders>
            <w:shd w:val="clear" w:color="auto" w:fill="EEF3FA"/>
            <w:tcMar>
              <w:top w:w="40" w:type="dxa"/>
              <w:left w:w="200" w:type="dxa"/>
              <w:bottom w:w="120" w:type="dxa"/>
              <w:right w:w="160" w:type="dxa"/>
            </w:tcMar>
          </w:tcPr>
          <w:p w14:paraId="7824BE31" w14:textId="580B05D9" w:rsidR="00212A15" w:rsidRDefault="00227257">
            <w:pPr>
              <w:jc w:val="both"/>
            </w:pPr>
            <w:r>
              <w:rPr>
                <w:i/>
                <w:iCs/>
                <w:sz w:val="20"/>
                <w:szCs w:val="20"/>
              </w:rPr>
              <w:t>Síntomas</w:t>
            </w:r>
            <w:r w:rsidR="001E3712">
              <w:rPr>
                <w:i/>
                <w:iCs/>
                <w:sz w:val="20"/>
                <w:szCs w:val="20"/>
              </w:rPr>
              <w:t xml:space="preserve"> + glucemia &lt; 55 mg/</w:t>
            </w:r>
            <w:r>
              <w:rPr>
                <w:i/>
                <w:iCs/>
                <w:sz w:val="20"/>
                <w:szCs w:val="20"/>
              </w:rPr>
              <w:t>del</w:t>
            </w:r>
            <w:r w:rsidR="001E3712">
              <w:rPr>
                <w:i/>
                <w:iCs/>
                <w:sz w:val="20"/>
                <w:szCs w:val="20"/>
              </w:rPr>
              <w:t xml:space="preserve"> + </w:t>
            </w:r>
            <w:r>
              <w:rPr>
                <w:i/>
                <w:iCs/>
                <w:sz w:val="20"/>
                <w:szCs w:val="20"/>
              </w:rPr>
              <w:t>mejoría</w:t>
            </w:r>
            <w:r w:rsidR="001E3712">
              <w:rPr>
                <w:i/>
                <w:iCs/>
                <w:sz w:val="20"/>
                <w:szCs w:val="20"/>
              </w:rPr>
              <w:t xml:space="preserve"> transitoria con glucosa. El </w:t>
            </w:r>
            <w:r>
              <w:rPr>
                <w:i/>
                <w:iCs/>
                <w:sz w:val="20"/>
                <w:szCs w:val="20"/>
              </w:rPr>
              <w:t>énfasis</w:t>
            </w:r>
            <w:r w:rsidR="001E3712">
              <w:rPr>
                <w:i/>
                <w:iCs/>
                <w:sz w:val="20"/>
                <w:szCs w:val="20"/>
              </w:rPr>
              <w:t xml:space="preserve"> </w:t>
            </w:r>
            <w:r>
              <w:rPr>
                <w:i/>
                <w:iCs/>
                <w:sz w:val="20"/>
                <w:szCs w:val="20"/>
              </w:rPr>
              <w:t>está</w:t>
            </w:r>
            <w:r w:rsidR="001E3712">
              <w:rPr>
                <w:i/>
                <w:iCs/>
                <w:sz w:val="20"/>
                <w:szCs w:val="20"/>
              </w:rPr>
              <w:t xml:space="preserve"> en TRANSITORIA. Si la glucemia vuelve a caer, el enemigo no </w:t>
            </w:r>
            <w:r>
              <w:rPr>
                <w:i/>
                <w:iCs/>
                <w:sz w:val="20"/>
                <w:szCs w:val="20"/>
              </w:rPr>
              <w:t>está</w:t>
            </w:r>
            <w:r w:rsidR="001E3712">
              <w:rPr>
                <w:i/>
                <w:iCs/>
                <w:sz w:val="20"/>
                <w:szCs w:val="20"/>
              </w:rPr>
              <w:t xml:space="preserve"> en el</w:t>
            </w:r>
            <w:r w:rsidR="001E3712">
              <w:rPr>
                <w:i/>
                <w:iCs/>
                <w:sz w:val="20"/>
                <w:szCs w:val="20"/>
              </w:rPr>
              <w:t xml:space="preserve"> </w:t>
            </w:r>
            <w:r>
              <w:rPr>
                <w:i/>
                <w:iCs/>
                <w:sz w:val="20"/>
                <w:szCs w:val="20"/>
              </w:rPr>
              <w:t>páncreas</w:t>
            </w:r>
            <w:r w:rsidR="001E3712">
              <w:rPr>
                <w:i/>
                <w:iCs/>
                <w:sz w:val="20"/>
                <w:szCs w:val="20"/>
              </w:rPr>
              <w:t>.</w:t>
            </w:r>
          </w:p>
        </w:tc>
      </w:tr>
    </w:tbl>
    <w:p w14:paraId="2B1C3B15" w14:textId="77777777" w:rsidR="00212A15" w:rsidRDefault="00212A15">
      <w:pPr>
        <w:spacing w:before="200"/>
      </w:pPr>
    </w:p>
    <w:p w14:paraId="75135105" w14:textId="665D2954" w:rsidR="00212A15" w:rsidRDefault="00227257">
      <w:pPr>
        <w:pStyle w:val="Ttulo2"/>
        <w:spacing w:before="400" w:after="160"/>
      </w:pPr>
      <w:r>
        <w:rPr>
          <w:b w:val="0"/>
          <w:bCs w:val="0"/>
          <w:color w:val="A83010"/>
          <w:sz w:val="22"/>
          <w:szCs w:val="22"/>
        </w:rPr>
        <w:t>III · CINCO</w:t>
      </w:r>
      <w:r w:rsidR="001E3712">
        <w:t xml:space="preserve"> BOLOS Y EL MISTERIO QUE NO CEDIA</w:t>
      </w:r>
    </w:p>
    <w:p w14:paraId="01181618" w14:textId="14718A91" w:rsidR="00212A15" w:rsidRDefault="001E3712">
      <w:pPr>
        <w:spacing w:before="80" w:after="100"/>
        <w:jc w:val="both"/>
      </w:pPr>
      <w:r>
        <w:t xml:space="preserve">El primer bolo de jarabe de melaza concentrada funciono en minutos. El </w:t>
      </w:r>
      <w:r w:rsidR="00227257">
        <w:t>ámbar</w:t>
      </w:r>
      <w:r>
        <w:t xml:space="preserve"> de los ojos de Torum regreso. El Tiefling </w:t>
      </w:r>
      <w:r w:rsidR="00227257">
        <w:t>parpadeo</w:t>
      </w:r>
      <w:r>
        <w:t>, desorientado.</w:t>
      </w:r>
    </w:p>
    <w:p w14:paraId="14145224" w14:textId="47B60D7E" w:rsidR="00212A15" w:rsidRDefault="001E3712">
      <w:pPr>
        <w:spacing w:before="60" w:after="100"/>
        <w:ind w:left="400"/>
        <w:jc w:val="both"/>
      </w:pPr>
      <w:r>
        <w:rPr>
          <w:b/>
          <w:bCs/>
          <w:i/>
          <w:iCs/>
          <w:color w:val="A83010"/>
        </w:rPr>
        <w:t xml:space="preserve">— Torum: </w:t>
      </w:r>
      <w:r w:rsidR="00227257">
        <w:rPr>
          <w:i/>
          <w:iCs/>
        </w:rPr>
        <w:t>¿Que paso?</w:t>
      </w:r>
    </w:p>
    <w:p w14:paraId="6A9FE420" w14:textId="77777777" w:rsidR="00212A15" w:rsidRDefault="001E3712">
      <w:pPr>
        <w:spacing w:before="60" w:after="100"/>
        <w:ind w:left="400"/>
        <w:jc w:val="both"/>
      </w:pPr>
      <w:r>
        <w:rPr>
          <w:b/>
          <w:bCs/>
          <w:i/>
          <w:iCs/>
          <w:color w:val="A83010"/>
        </w:rPr>
        <w:t xml:space="preserve">— Aryam: </w:t>
      </w:r>
      <w:r>
        <w:rPr>
          <w:i/>
          <w:iCs/>
        </w:rPr>
        <w:t>Lo de siempre. Pero peor.</w:t>
      </w:r>
    </w:p>
    <w:p w14:paraId="12FF9C0C" w14:textId="4E0DCACA" w:rsidR="00212A15" w:rsidRDefault="001E3712">
      <w:pPr>
        <w:spacing w:before="80" w:after="100"/>
        <w:jc w:val="both"/>
      </w:pPr>
      <w:r>
        <w:t xml:space="preserve">Diez minutos </w:t>
      </w:r>
      <w:r w:rsidR="00185DF7">
        <w:t>después</w:t>
      </w:r>
      <w:r>
        <w:t xml:space="preserve">, el cristal </w:t>
      </w:r>
      <w:r w:rsidR="00185DF7">
        <w:t>volvió</w:t>
      </w:r>
      <w:r>
        <w:t xml:space="preserve"> a arder rojo. Marcus </w:t>
      </w:r>
      <w:r w:rsidR="00185DF7">
        <w:t>repitió</w:t>
      </w:r>
      <w:r>
        <w:t xml:space="preserve"> el jarabe. Torum mejoro. El cristal </w:t>
      </w:r>
      <w:r w:rsidR="00227257">
        <w:t>volvió</w:t>
      </w:r>
      <w:r>
        <w:t xml:space="preserve"> a rojo. Tercer bolo. Cuarto. Para el quinto, el </w:t>
      </w:r>
      <w:r w:rsidR="00227257">
        <w:t>clérigo</w:t>
      </w:r>
      <w:r>
        <w:t xml:space="preserve"> estaba de rodillas frente al Tiefling con una </w:t>
      </w:r>
      <w:r w:rsidR="00F8241B">
        <w:t>expresión</w:t>
      </w:r>
      <w:r>
        <w:t xml:space="preserve"> que no era </w:t>
      </w:r>
      <w:r w:rsidR="00F8241B">
        <w:t>pánico</w:t>
      </w:r>
      <w:r>
        <w:t xml:space="preserve"> sino algo </w:t>
      </w:r>
      <w:r w:rsidR="00F8241B">
        <w:t>más</w:t>
      </w:r>
      <w:r>
        <w:t xml:space="preserve"> </w:t>
      </w:r>
      <w:r>
        <w:t xml:space="preserve">inquietante: </w:t>
      </w:r>
      <w:r w:rsidR="00F8241B">
        <w:rPr>
          <w:i/>
          <w:iCs/>
          <w:color w:val="555555"/>
        </w:rPr>
        <w:t>confusión</w:t>
      </w:r>
      <w:r>
        <w:rPr>
          <w:i/>
          <w:iCs/>
          <w:color w:val="555555"/>
        </w:rPr>
        <w:t xml:space="preserve"> diagnostica.</w:t>
      </w:r>
    </w:p>
    <w:p w14:paraId="73123041" w14:textId="74B38864" w:rsidR="00212A15" w:rsidRDefault="001E3712">
      <w:pPr>
        <w:spacing w:before="60" w:after="100"/>
        <w:ind w:left="400"/>
        <w:jc w:val="both"/>
      </w:pPr>
      <w:r>
        <w:rPr>
          <w:b/>
          <w:bCs/>
          <w:i/>
          <w:iCs/>
          <w:color w:val="A83010"/>
        </w:rPr>
        <w:t xml:space="preserve">— Vic: </w:t>
      </w:r>
      <w:r>
        <w:rPr>
          <w:i/>
          <w:iCs/>
        </w:rPr>
        <w:t xml:space="preserve">Esto no es hambre normal. Un cuerpo normal vuelve solo </w:t>
      </w:r>
      <w:r w:rsidR="00F8241B">
        <w:rPr>
          <w:i/>
          <w:iCs/>
        </w:rPr>
        <w:t>después</w:t>
      </w:r>
      <w:r>
        <w:rPr>
          <w:i/>
          <w:iCs/>
        </w:rPr>
        <w:t xml:space="preserve"> del primer bolo. El </w:t>
      </w:r>
      <w:r w:rsidR="00F8241B">
        <w:rPr>
          <w:i/>
          <w:iCs/>
        </w:rPr>
        <w:t>hígado</w:t>
      </w:r>
      <w:r>
        <w:rPr>
          <w:i/>
          <w:iCs/>
        </w:rPr>
        <w:t xml:space="preserve"> hace su trabajo, libera reservas, estabiliza. El suyo no hace nada de eso.</w:t>
      </w:r>
    </w:p>
    <w:p w14:paraId="1BD21AC9" w14:textId="3EB3EAD1" w:rsidR="00212A15" w:rsidRDefault="001E3712">
      <w:pPr>
        <w:spacing w:before="60" w:after="100"/>
        <w:ind w:left="400"/>
        <w:jc w:val="both"/>
      </w:pPr>
      <w:r>
        <w:rPr>
          <w:b/>
          <w:bCs/>
          <w:i/>
          <w:iCs/>
          <w:color w:val="A83010"/>
        </w:rPr>
        <w:t xml:space="preserve">— Marcus: </w:t>
      </w:r>
      <w:r>
        <w:rPr>
          <w:i/>
          <w:iCs/>
        </w:rPr>
        <w:t xml:space="preserve">Como si algo le dijera al </w:t>
      </w:r>
      <w:r w:rsidR="00F8241B">
        <w:rPr>
          <w:i/>
          <w:iCs/>
        </w:rPr>
        <w:t>hígado</w:t>
      </w:r>
      <w:r>
        <w:rPr>
          <w:i/>
          <w:iCs/>
        </w:rPr>
        <w:t xml:space="preserve"> que n</w:t>
      </w:r>
      <w:r>
        <w:rPr>
          <w:i/>
          <w:iCs/>
        </w:rPr>
        <w:t>o hay nada que hacer.</w:t>
      </w:r>
    </w:p>
    <w:p w14:paraId="665A5D85" w14:textId="77777777" w:rsidR="00212A15" w:rsidRDefault="001E3712">
      <w:pPr>
        <w:spacing w:before="60" w:after="100"/>
        <w:ind w:left="400"/>
        <w:jc w:val="both"/>
      </w:pPr>
      <w:r>
        <w:rPr>
          <w:b/>
          <w:bCs/>
          <w:i/>
          <w:iCs/>
          <w:color w:val="A83010"/>
        </w:rPr>
        <w:t xml:space="preserve">— Vic: </w:t>
      </w:r>
      <w:r>
        <w:rPr>
          <w:i/>
          <w:iCs/>
        </w:rPr>
        <w:t>Exactamente.</w:t>
      </w:r>
    </w:p>
    <w:p w14:paraId="33C2A29D" w14:textId="77777777" w:rsidR="00212A15" w:rsidRDefault="001E3712">
      <w:pPr>
        <w:spacing w:before="200" w:after="200"/>
        <w:jc w:val="center"/>
      </w:pPr>
      <w:r>
        <w:rPr>
          <w:color w:val="A83010"/>
        </w:rPr>
        <w:t>* * *</w:t>
      </w:r>
    </w:p>
    <w:p w14:paraId="4CE53F12" w14:textId="2D8E3024" w:rsidR="00212A15" w:rsidRDefault="001E3712">
      <w:pPr>
        <w:spacing w:before="80" w:after="100"/>
        <w:jc w:val="both"/>
      </w:pPr>
      <w:r>
        <w:t xml:space="preserve">Aryam, que escuchaba desde </w:t>
      </w:r>
      <w:r w:rsidR="00185DF7">
        <w:t>detrás</w:t>
      </w:r>
      <w:r>
        <w:t xml:space="preserve"> de su jarra con la </w:t>
      </w:r>
      <w:r w:rsidR="00185DF7">
        <w:t>atención</w:t>
      </w:r>
      <w:r>
        <w:t xml:space="preserve"> silenciosa de quien ha sobrevivido </w:t>
      </w:r>
      <w:r w:rsidR="00185DF7">
        <w:t>décadas</w:t>
      </w:r>
      <w:r>
        <w:t xml:space="preserve"> en la sombra, </w:t>
      </w:r>
      <w:r w:rsidR="00185DF7">
        <w:t>señaló</w:t>
      </w:r>
      <w:r>
        <w:t xml:space="preserve"> con un dedo a la cadera de Torum — donde, bajo la capa de viaje, </w:t>
      </w:r>
      <w:r w:rsidR="00185DF7">
        <w:t>había</w:t>
      </w:r>
      <w:r>
        <w:t xml:space="preserve"> siempre una ligera </w:t>
      </w:r>
      <w:r w:rsidR="00185DF7">
        <w:t>distensión</w:t>
      </w:r>
      <w:r>
        <w:t xml:space="preserve"> que todos </w:t>
      </w:r>
      <w:r w:rsidR="00185DF7">
        <w:t>habían</w:t>
      </w:r>
      <w:r>
        <w:t xml:space="preserve"> atribuido a </w:t>
      </w:r>
      <w:r>
        <w:t>la musculatura inusual de los Tieflings.</w:t>
      </w:r>
    </w:p>
    <w:p w14:paraId="11B16DCF" w14:textId="0A68571C" w:rsidR="00212A15" w:rsidRDefault="001E3712">
      <w:pPr>
        <w:spacing w:before="60" w:after="100"/>
        <w:ind w:left="400"/>
        <w:jc w:val="both"/>
      </w:pPr>
      <w:r>
        <w:rPr>
          <w:b/>
          <w:bCs/>
          <w:i/>
          <w:iCs/>
          <w:color w:val="A83010"/>
        </w:rPr>
        <w:lastRenderedPageBreak/>
        <w:t xml:space="preserve">— Aryam: </w:t>
      </w:r>
      <w:r w:rsidR="00F8241B">
        <w:rPr>
          <w:i/>
          <w:iCs/>
        </w:rPr>
        <w:t>¿Alguien le ha preguntado qué es eso?</w:t>
      </w:r>
    </w:p>
    <w:p w14:paraId="5ECE50A0" w14:textId="28F39B4C" w:rsidR="00212A15" w:rsidRDefault="001E3712">
      <w:pPr>
        <w:spacing w:before="80" w:after="100"/>
        <w:jc w:val="both"/>
      </w:pPr>
      <w:r>
        <w:rPr>
          <w:i/>
          <w:iCs/>
          <w:color w:val="555555"/>
        </w:rPr>
        <w:t xml:space="preserve">Nadie lo </w:t>
      </w:r>
      <w:r w:rsidR="00185DF7">
        <w:rPr>
          <w:i/>
          <w:iCs/>
          <w:color w:val="555555"/>
        </w:rPr>
        <w:t>había</w:t>
      </w:r>
      <w:r>
        <w:rPr>
          <w:i/>
          <w:iCs/>
          <w:color w:val="555555"/>
        </w:rPr>
        <w:t xml:space="preserve"> preguntado.</w:t>
      </w:r>
    </w:p>
    <w:p w14:paraId="2BF7ED55" w14:textId="77777777" w:rsidR="00212A15" w:rsidRDefault="00212A15">
      <w:pPr>
        <w:spacing w:before="200"/>
      </w:pPr>
    </w:p>
    <w:p w14:paraId="61589C3C" w14:textId="710A315A" w:rsidR="00212A15" w:rsidRDefault="00F8241B">
      <w:pPr>
        <w:pStyle w:val="Ttulo2"/>
        <w:spacing w:before="400" w:after="160"/>
      </w:pPr>
      <w:r>
        <w:rPr>
          <w:b w:val="0"/>
          <w:bCs w:val="0"/>
          <w:color w:val="A83010"/>
          <w:sz w:val="22"/>
          <w:szCs w:val="22"/>
        </w:rPr>
        <w:t>IV · LA</w:t>
      </w:r>
      <w:r w:rsidR="001E3712">
        <w:t xml:space="preserve"> MASA QUE NADIE HABIA NOMBRADO</w:t>
      </w:r>
    </w:p>
    <w:p w14:paraId="1F6E9925" w14:textId="36F3DEDB" w:rsidR="00212A15" w:rsidRDefault="001E3712">
      <w:pPr>
        <w:spacing w:before="80" w:after="100"/>
        <w:jc w:val="both"/>
      </w:pPr>
      <w:r>
        <w:t xml:space="preserve">Torum llevaba seis meses </w:t>
      </w:r>
      <w:r w:rsidR="00185DF7">
        <w:t>diciéndose</w:t>
      </w:r>
      <w:r>
        <w:t xml:space="preserve"> que era grasa. O musculo. O un quiste racial. Lo </w:t>
      </w:r>
      <w:r w:rsidR="00185DF7">
        <w:t>había</w:t>
      </w:r>
      <w:r>
        <w:t xml:space="preserve"> notado pri</w:t>
      </w:r>
      <w:r>
        <w:t xml:space="preserve">mero en primavera — una plenitud que no era dolorosa, un peso en el mesenterio que a veces, cuando se inclinaba de cierta manera, le robaba el aliento por un instante. Nunca lo </w:t>
      </w:r>
      <w:r w:rsidR="00F8241B">
        <w:t>había</w:t>
      </w:r>
      <w:r>
        <w:t xml:space="preserve"> mencionado.</w:t>
      </w:r>
    </w:p>
    <w:p w14:paraId="70F5D0C4" w14:textId="539B256B" w:rsidR="00212A15" w:rsidRDefault="001E3712">
      <w:pPr>
        <w:spacing w:before="60" w:after="100"/>
        <w:ind w:left="400"/>
        <w:jc w:val="both"/>
      </w:pPr>
      <w:r>
        <w:rPr>
          <w:b/>
          <w:bCs/>
          <w:i/>
          <w:iCs/>
          <w:color w:val="A83010"/>
        </w:rPr>
        <w:t xml:space="preserve">— Torum: </w:t>
      </w:r>
      <w:r>
        <w:rPr>
          <w:i/>
          <w:iCs/>
        </w:rPr>
        <w:t xml:space="preserve">Tengo algo. En el vientre. Lleva meses </w:t>
      </w:r>
      <w:r w:rsidR="00F8241B">
        <w:rPr>
          <w:i/>
          <w:iCs/>
        </w:rPr>
        <w:t>ahí</w:t>
      </w:r>
      <w:r>
        <w:rPr>
          <w:i/>
          <w:iCs/>
        </w:rPr>
        <w:t>.</w:t>
      </w:r>
    </w:p>
    <w:p w14:paraId="2156F57A" w14:textId="42DA37DD" w:rsidR="00212A15" w:rsidRDefault="001E3712">
      <w:pPr>
        <w:spacing w:before="80" w:after="100"/>
        <w:jc w:val="both"/>
      </w:pPr>
      <w:r>
        <w:t>Vic p</w:t>
      </w:r>
      <w:r w:rsidR="00F8241B">
        <w:t>uso</w:t>
      </w:r>
      <w:r>
        <w:t xml:space="preserve"> ambas manos sobre el abdomen del Tiefling con la delicadeza de quien palpa tierra sagrada. Sus dedos encontraron la masa casi de inmediato — firme, lobulada, sin dolor a la </w:t>
      </w:r>
      <w:r w:rsidR="00185DF7">
        <w:t>palpación</w:t>
      </w:r>
      <w:r>
        <w:t xml:space="preserve">, adherida al mesenterio como si hubiera crecido </w:t>
      </w:r>
      <w:r w:rsidR="00185DF7">
        <w:t>ahí</w:t>
      </w:r>
      <w:r>
        <w:t xml:space="preserve"> desde siempre.</w:t>
      </w:r>
    </w:p>
    <w:p w14:paraId="20140FFB" w14:textId="706BB94F" w:rsidR="00212A15" w:rsidRDefault="001E3712">
      <w:pPr>
        <w:spacing w:before="60" w:after="100"/>
        <w:ind w:left="400"/>
        <w:jc w:val="both"/>
      </w:pPr>
      <w:r>
        <w:rPr>
          <w:b/>
          <w:bCs/>
          <w:i/>
          <w:iCs/>
          <w:color w:val="A83010"/>
        </w:rPr>
        <w:t>— Vi</w:t>
      </w:r>
      <w:r>
        <w:rPr>
          <w:b/>
          <w:bCs/>
          <w:i/>
          <w:iCs/>
          <w:color w:val="A83010"/>
        </w:rPr>
        <w:t xml:space="preserve">c: </w:t>
      </w:r>
      <w:r w:rsidR="002D3392">
        <w:rPr>
          <w:i/>
          <w:iCs/>
        </w:rPr>
        <w:t>de ahí muchos</w:t>
      </w:r>
      <w:r w:rsidR="002A7692">
        <w:rPr>
          <w:i/>
          <w:iCs/>
        </w:rPr>
        <w:t xml:space="preserve"> </w:t>
      </w:r>
      <w:r w:rsidR="00260202">
        <w:rPr>
          <w:i/>
          <w:iCs/>
        </w:rPr>
        <w:t xml:space="preserve">examen </w:t>
      </w:r>
      <w:r w:rsidR="000E5576">
        <w:rPr>
          <w:i/>
          <w:iCs/>
        </w:rPr>
        <w:t>y cristales</w:t>
      </w:r>
      <w:r w:rsidR="008E3EA2">
        <w:rPr>
          <w:i/>
          <w:iCs/>
        </w:rPr>
        <w:t xml:space="preserve"> </w:t>
      </w:r>
      <w:r w:rsidR="00260202">
        <w:rPr>
          <w:i/>
          <w:iCs/>
        </w:rPr>
        <w:t>de visión interna después llego a una conclusión:</w:t>
      </w:r>
      <w:r>
        <w:rPr>
          <w:i/>
          <w:iCs/>
        </w:rPr>
        <w:t xml:space="preserve"> No es sangre infernal, Torum. No es la </w:t>
      </w:r>
      <w:r w:rsidR="00185DF7">
        <w:rPr>
          <w:i/>
          <w:iCs/>
        </w:rPr>
        <w:t>maldición</w:t>
      </w:r>
      <w:r>
        <w:rPr>
          <w:i/>
          <w:iCs/>
        </w:rPr>
        <w:t xml:space="preserve"> de tus ancestros. Es un tumor en el mesenterio que fabrica una </w:t>
      </w:r>
      <w:r w:rsidR="00F8241B">
        <w:rPr>
          <w:i/>
          <w:iCs/>
        </w:rPr>
        <w:t>molécula</w:t>
      </w:r>
      <w:r>
        <w:rPr>
          <w:i/>
          <w:iCs/>
        </w:rPr>
        <w:t xml:space="preserve"> que le ordena a tu cuerpo que queme glucosa sin parar. Sin control. Sin </w:t>
      </w:r>
      <w:r w:rsidR="00185DF7">
        <w:rPr>
          <w:i/>
          <w:iCs/>
        </w:rPr>
        <w:t>límite</w:t>
      </w:r>
      <w:r>
        <w:rPr>
          <w:i/>
          <w:iCs/>
        </w:rPr>
        <w:t>.</w:t>
      </w:r>
    </w:p>
    <w:p w14:paraId="3CB5CEAD" w14:textId="77777777" w:rsidR="00212A15" w:rsidRDefault="00212A1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212A15" w14:paraId="1BB323B6" w14:textId="77777777">
        <w:tblPrEx>
          <w:tblCellMar>
            <w:top w:w="0" w:type="dxa"/>
            <w:bottom w:w="0" w:type="dxa"/>
          </w:tblCellMar>
        </w:tblPrEx>
        <w:tc>
          <w:tcPr>
            <w:tcW w:w="180" w:type="dxa"/>
            <w:tcBorders>
              <w:top w:val="none" w:sz="0" w:space="0" w:color="FFFFFF"/>
              <w:left w:val="single" w:sz="18" w:space="0" w:color="7A1515"/>
              <w:bottom w:val="none" w:sz="0" w:space="0" w:color="FFFFFF"/>
              <w:right w:val="none" w:sz="0" w:space="0" w:color="FFFFFF"/>
            </w:tcBorders>
          </w:tcPr>
          <w:p w14:paraId="25C6890F" w14:textId="77777777" w:rsidR="00212A15" w:rsidRDefault="00212A15"/>
        </w:tc>
        <w:tc>
          <w:tcPr>
            <w:tcW w:w="9180" w:type="dxa"/>
            <w:tcBorders>
              <w:top w:val="none" w:sz="0" w:space="0" w:color="FFFFFF"/>
              <w:left w:val="none" w:sz="0" w:space="0" w:color="FFFFFF"/>
              <w:bottom w:val="none" w:sz="0" w:space="0" w:color="FFFFFF"/>
              <w:right w:val="none" w:sz="0" w:space="0" w:color="FFFFFF"/>
            </w:tcBorders>
            <w:shd w:val="clear" w:color="auto" w:fill="FDF0F0"/>
            <w:tcMar>
              <w:top w:w="140" w:type="dxa"/>
              <w:left w:w="220" w:type="dxa"/>
              <w:bottom w:w="140" w:type="dxa"/>
              <w:right w:w="140" w:type="dxa"/>
            </w:tcMar>
          </w:tcPr>
          <w:p w14:paraId="4C84BF7E" w14:textId="7AC11E06" w:rsidR="00212A15" w:rsidRDefault="001E3712">
            <w:pPr>
              <w:jc w:val="both"/>
            </w:pPr>
            <w:r>
              <w:rPr>
                <w:i/>
                <w:iCs/>
                <w:color w:val="7A3030"/>
                <w:sz w:val="23"/>
                <w:szCs w:val="23"/>
              </w:rPr>
              <w:t>Big IGF-2. Grande, pesado</w:t>
            </w:r>
            <w:r>
              <w:rPr>
                <w:i/>
                <w:iCs/>
                <w:color w:val="7A3030"/>
                <w:sz w:val="23"/>
                <w:szCs w:val="23"/>
              </w:rPr>
              <w:t xml:space="preserve">, incompletamente procesado. Una </w:t>
            </w:r>
            <w:r w:rsidR="00F8241B">
              <w:rPr>
                <w:i/>
                <w:iCs/>
                <w:color w:val="7A3030"/>
                <w:sz w:val="23"/>
                <w:szCs w:val="23"/>
              </w:rPr>
              <w:t>versión</w:t>
            </w:r>
            <w:r>
              <w:rPr>
                <w:i/>
                <w:iCs/>
                <w:color w:val="7A3030"/>
                <w:sz w:val="23"/>
                <w:szCs w:val="23"/>
              </w:rPr>
              <w:t xml:space="preserve"> aberrante de una </w:t>
            </w:r>
            <w:r w:rsidR="00F8241B">
              <w:rPr>
                <w:i/>
                <w:iCs/>
                <w:color w:val="7A3030"/>
                <w:sz w:val="23"/>
                <w:szCs w:val="23"/>
              </w:rPr>
              <w:t>señal</w:t>
            </w:r>
            <w:r>
              <w:rPr>
                <w:i/>
                <w:iCs/>
                <w:color w:val="7A3030"/>
                <w:sz w:val="23"/>
                <w:szCs w:val="23"/>
              </w:rPr>
              <w:t xml:space="preserve"> normal que el tumor fabrica como un conjuro de hambre que </w:t>
            </w:r>
            <w:r w:rsidR="00F8241B">
              <w:rPr>
                <w:i/>
                <w:iCs/>
                <w:color w:val="7A3030"/>
                <w:sz w:val="23"/>
                <w:szCs w:val="23"/>
              </w:rPr>
              <w:t>ningún</w:t>
            </w:r>
            <w:r>
              <w:rPr>
                <w:i/>
                <w:iCs/>
                <w:color w:val="7A3030"/>
                <w:sz w:val="23"/>
                <w:szCs w:val="23"/>
              </w:rPr>
              <w:t xml:space="preserve"> bolo de melaza puede romper del todo.</w:t>
            </w:r>
          </w:p>
        </w:tc>
      </w:tr>
    </w:tbl>
    <w:p w14:paraId="426DB5EA" w14:textId="77777777" w:rsidR="00212A15" w:rsidRDefault="00212A15">
      <w:pPr>
        <w:spacing w:before="200"/>
      </w:pPr>
    </w:p>
    <w:p w14:paraId="05E89FB6" w14:textId="2789D27C" w:rsidR="00212A15" w:rsidRDefault="00F8241B">
      <w:pPr>
        <w:pStyle w:val="Ttulo2"/>
        <w:spacing w:before="400" w:after="160"/>
      </w:pPr>
      <w:r>
        <w:rPr>
          <w:b w:val="0"/>
          <w:bCs w:val="0"/>
          <w:color w:val="A83010"/>
          <w:sz w:val="22"/>
          <w:szCs w:val="22"/>
        </w:rPr>
        <w:t>V · EL</w:t>
      </w:r>
      <w:r w:rsidR="001E3712">
        <w:t xml:space="preserve"> ALQUIMISTA OSCURO — LA NATURALEZA DEL ENEMIGO</w:t>
      </w:r>
    </w:p>
    <w:p w14:paraId="4843CA74" w14:textId="2B223CFB" w:rsidR="00212A15" w:rsidRDefault="001E3712">
      <w:pPr>
        <w:spacing w:before="80" w:after="100"/>
        <w:jc w:val="both"/>
      </w:pPr>
      <w:r>
        <w:t xml:space="preserve">Esa noche, mientras Torum </w:t>
      </w:r>
      <w:r w:rsidR="00185DF7">
        <w:t>dormía</w:t>
      </w:r>
      <w:r>
        <w:t xml:space="preserve"> con una </w:t>
      </w:r>
      <w:r w:rsidR="00185DF7">
        <w:t>infusión</w:t>
      </w:r>
      <w:r>
        <w:t xml:space="preserve"> continua de melaza goteando lentamente por su brazo — la </w:t>
      </w:r>
      <w:r w:rsidR="00185DF7">
        <w:t>versión</w:t>
      </w:r>
      <w:r>
        <w:t xml:space="preserve"> de taberna de la dextrosa IV al diez por ciento — Vic le explico a Marcus lo que </w:t>
      </w:r>
      <w:r w:rsidR="00185DF7">
        <w:t>había</w:t>
      </w:r>
      <w:r>
        <w:t xml:space="preserve"> apren</w:t>
      </w:r>
      <w:r>
        <w:t>dido en los manuscritos del Gremio de Curanderos.</w:t>
      </w:r>
    </w:p>
    <w:p w14:paraId="6BBAACF7" w14:textId="10F5AB06" w:rsidR="00212A15" w:rsidRDefault="001E3712">
      <w:pPr>
        <w:spacing w:before="60" w:after="100"/>
        <w:ind w:left="400"/>
        <w:jc w:val="both"/>
      </w:pPr>
      <w:r>
        <w:rPr>
          <w:b/>
          <w:bCs/>
          <w:i/>
          <w:iCs/>
          <w:color w:val="A83010"/>
        </w:rPr>
        <w:t xml:space="preserve">— Vic: </w:t>
      </w:r>
      <w:r>
        <w:rPr>
          <w:i/>
          <w:iCs/>
        </w:rPr>
        <w:t xml:space="preserve">El tumor es el Alquimista. No el veneno — el Alquimista. Convierte las </w:t>
      </w:r>
      <w:r w:rsidR="00F8241B">
        <w:rPr>
          <w:i/>
          <w:iCs/>
        </w:rPr>
        <w:t>células</w:t>
      </w:r>
      <w:r>
        <w:rPr>
          <w:i/>
          <w:iCs/>
        </w:rPr>
        <w:t xml:space="preserve"> del mesenterio en una </w:t>
      </w:r>
      <w:r w:rsidR="00185DF7">
        <w:rPr>
          <w:i/>
          <w:iCs/>
        </w:rPr>
        <w:t>fábrica</w:t>
      </w:r>
      <w:r>
        <w:rPr>
          <w:i/>
          <w:iCs/>
        </w:rPr>
        <w:t xml:space="preserve"> </w:t>
      </w:r>
      <w:r w:rsidR="00F8241B">
        <w:rPr>
          <w:i/>
          <w:iCs/>
        </w:rPr>
        <w:t>de IGF</w:t>
      </w:r>
      <w:r>
        <w:rPr>
          <w:i/>
          <w:iCs/>
        </w:rPr>
        <w:t xml:space="preserve">-2 que trabaja </w:t>
      </w:r>
      <w:r w:rsidR="00185DF7">
        <w:rPr>
          <w:i/>
          <w:iCs/>
        </w:rPr>
        <w:t>día</w:t>
      </w:r>
      <w:r>
        <w:rPr>
          <w:i/>
          <w:iCs/>
        </w:rPr>
        <w:t xml:space="preserve"> y noche, indiferente a que Torum coma o ayune. El cuerpo obed</w:t>
      </w:r>
      <w:r>
        <w:rPr>
          <w:i/>
          <w:iCs/>
        </w:rPr>
        <w:t xml:space="preserve">ece: consume glucosa, consume glucosa. El </w:t>
      </w:r>
      <w:r w:rsidR="00F8241B">
        <w:rPr>
          <w:i/>
          <w:iCs/>
        </w:rPr>
        <w:t>hígado</w:t>
      </w:r>
      <w:r>
        <w:rPr>
          <w:i/>
          <w:iCs/>
        </w:rPr>
        <w:t xml:space="preserve"> intenta compensar. El </w:t>
      </w:r>
      <w:r w:rsidR="00F8241B">
        <w:rPr>
          <w:i/>
          <w:iCs/>
        </w:rPr>
        <w:t>páncreas</w:t>
      </w:r>
      <w:r>
        <w:rPr>
          <w:i/>
          <w:iCs/>
        </w:rPr>
        <w:t xml:space="preserve"> intenta compensar. Pero el Alquimista nunca para.</w:t>
      </w:r>
    </w:p>
    <w:p w14:paraId="738A5DFD" w14:textId="68DD6A5C" w:rsidR="00212A15" w:rsidRDefault="001E3712">
      <w:pPr>
        <w:spacing w:before="60" w:after="100"/>
        <w:ind w:left="400"/>
        <w:jc w:val="both"/>
      </w:pPr>
      <w:r>
        <w:rPr>
          <w:b/>
          <w:bCs/>
          <w:i/>
          <w:iCs/>
          <w:color w:val="A83010"/>
        </w:rPr>
        <w:t xml:space="preserve">— Marcus: </w:t>
      </w:r>
      <w:r w:rsidR="00F8241B">
        <w:rPr>
          <w:i/>
          <w:iCs/>
        </w:rPr>
        <w:t>¿Y el hambre?</w:t>
      </w:r>
    </w:p>
    <w:p w14:paraId="1E44A03C" w14:textId="07B45D17" w:rsidR="00212A15" w:rsidRDefault="001E3712">
      <w:pPr>
        <w:spacing w:before="60" w:after="100"/>
        <w:ind w:left="400"/>
        <w:jc w:val="both"/>
      </w:pPr>
      <w:r>
        <w:rPr>
          <w:b/>
          <w:bCs/>
          <w:i/>
          <w:iCs/>
          <w:color w:val="A83010"/>
        </w:rPr>
        <w:t xml:space="preserve">— Vic: </w:t>
      </w:r>
      <w:r>
        <w:rPr>
          <w:i/>
          <w:iCs/>
        </w:rPr>
        <w:t>El hambre es la sirena de alarma del cerebro. Torum ha vivido con esa sirena tanto tiempo que la</w:t>
      </w:r>
      <w:r>
        <w:rPr>
          <w:i/>
          <w:iCs/>
        </w:rPr>
        <w:t xml:space="preserve"> </w:t>
      </w:r>
      <w:r w:rsidR="00185DF7">
        <w:rPr>
          <w:i/>
          <w:iCs/>
        </w:rPr>
        <w:t>confundió</w:t>
      </w:r>
      <w:r>
        <w:rPr>
          <w:i/>
          <w:iCs/>
        </w:rPr>
        <w:t xml:space="preserve"> con su naturaleza Tiefling. Con la </w:t>
      </w:r>
      <w:r w:rsidR="00185DF7">
        <w:rPr>
          <w:i/>
          <w:iCs/>
        </w:rPr>
        <w:t>maldición</w:t>
      </w:r>
      <w:r>
        <w:rPr>
          <w:i/>
          <w:iCs/>
        </w:rPr>
        <w:t>. Con la herencia del Abismo.</w:t>
      </w:r>
    </w:p>
    <w:p w14:paraId="49C3D1DF" w14:textId="2A1DCAF2" w:rsidR="00212A15" w:rsidRDefault="001E3712">
      <w:pPr>
        <w:spacing w:before="60" w:after="100"/>
        <w:ind w:left="400"/>
        <w:jc w:val="both"/>
      </w:pPr>
      <w:r>
        <w:rPr>
          <w:b/>
          <w:bCs/>
          <w:i/>
          <w:iCs/>
          <w:color w:val="A83010"/>
        </w:rPr>
        <w:t xml:space="preserve">— Marcus: </w:t>
      </w:r>
      <w:r w:rsidR="00185DF7">
        <w:rPr>
          <w:i/>
          <w:iCs/>
        </w:rPr>
        <w:t>¿Se puede matar al Alquimista?</w:t>
      </w:r>
    </w:p>
    <w:p w14:paraId="78573B10" w14:textId="4DA56F44" w:rsidR="00212A15" w:rsidRDefault="001E3712">
      <w:pPr>
        <w:spacing w:before="60" w:after="100"/>
        <w:ind w:left="400"/>
        <w:jc w:val="both"/>
      </w:pPr>
      <w:r>
        <w:rPr>
          <w:b/>
          <w:bCs/>
          <w:i/>
          <w:iCs/>
          <w:color w:val="A83010"/>
        </w:rPr>
        <w:t xml:space="preserve">— Vic: </w:t>
      </w:r>
      <w:r>
        <w:rPr>
          <w:i/>
          <w:iCs/>
        </w:rPr>
        <w:t xml:space="preserve">Con la espada correcta, </w:t>
      </w:r>
      <w:r w:rsidR="00F8241B">
        <w:rPr>
          <w:i/>
          <w:iCs/>
        </w:rPr>
        <w:t>sí</w:t>
      </w:r>
      <w:r>
        <w:rPr>
          <w:i/>
          <w:iCs/>
        </w:rPr>
        <w:t>. Si lo extirpan completo, la hipoglicemia se resuelve en horas. Como si el conjuro se rompiera de</w:t>
      </w:r>
      <w:r>
        <w:rPr>
          <w:i/>
          <w:iCs/>
        </w:rPr>
        <w:t xml:space="preserve"> golpe.</w:t>
      </w:r>
    </w:p>
    <w:p w14:paraId="4581D9F6" w14:textId="77777777" w:rsidR="00212A15" w:rsidRDefault="001E3712">
      <w:pPr>
        <w:spacing w:before="200" w:after="200"/>
        <w:jc w:val="center"/>
      </w:pPr>
      <w:r>
        <w:rPr>
          <w:color w:val="A83010"/>
        </w:rPr>
        <w:t>* * *</w:t>
      </w:r>
    </w:p>
    <w:p w14:paraId="219383AB" w14:textId="0DC0E82F" w:rsidR="00212A15" w:rsidRDefault="001E3712">
      <w:pPr>
        <w:spacing w:before="80" w:after="100"/>
        <w:jc w:val="both"/>
      </w:pPr>
      <w:r>
        <w:lastRenderedPageBreak/>
        <w:t xml:space="preserve">Pero el Maestro </w:t>
      </w:r>
      <w:r w:rsidR="00F8241B">
        <w:t>Camelias</w:t>
      </w:r>
      <w:r>
        <w:t xml:space="preserve">, cirujano mayor de la Casa de la Salud, examino a Torum al </w:t>
      </w:r>
      <w:r w:rsidR="000E5576">
        <w:t>día</w:t>
      </w:r>
      <w:r>
        <w:t xml:space="preserve"> siguiente y </w:t>
      </w:r>
      <w:r w:rsidR="000E5576">
        <w:t>negó</w:t>
      </w:r>
      <w:r>
        <w:t xml:space="preserve"> con la cabeza.</w:t>
      </w:r>
    </w:p>
    <w:p w14:paraId="332EEDAC" w14:textId="0900B165" w:rsidR="00212A15" w:rsidRDefault="001E3712">
      <w:pPr>
        <w:spacing w:before="60" w:after="100"/>
        <w:ind w:left="400"/>
        <w:jc w:val="both"/>
      </w:pPr>
      <w:r>
        <w:rPr>
          <w:b/>
          <w:bCs/>
          <w:i/>
          <w:iCs/>
          <w:color w:val="A83010"/>
        </w:rPr>
        <w:t xml:space="preserve">— Maestro Caelius: </w:t>
      </w:r>
      <w:r>
        <w:rPr>
          <w:i/>
          <w:iCs/>
        </w:rPr>
        <w:t xml:space="preserve">La masa esta enredada en el mesenterio como </w:t>
      </w:r>
      <w:r w:rsidR="00185DF7">
        <w:rPr>
          <w:i/>
          <w:iCs/>
        </w:rPr>
        <w:t>raíz</w:t>
      </w:r>
      <w:r>
        <w:rPr>
          <w:i/>
          <w:iCs/>
        </w:rPr>
        <w:t xml:space="preserve"> en piedra. Tocarla es arriesgarse a un sangrado que no </w:t>
      </w:r>
      <w:r w:rsidR="00185DF7">
        <w:rPr>
          <w:i/>
          <w:iCs/>
        </w:rPr>
        <w:t>podría</w:t>
      </w:r>
      <w:r>
        <w:rPr>
          <w:i/>
          <w:iCs/>
        </w:rPr>
        <w:t xml:space="preserve"> contener. No puedo operarlo. No </w:t>
      </w:r>
      <w:r w:rsidR="00185DF7">
        <w:rPr>
          <w:i/>
          <w:iCs/>
        </w:rPr>
        <w:t>aquí</w:t>
      </w:r>
      <w:r>
        <w:rPr>
          <w:i/>
          <w:iCs/>
        </w:rPr>
        <w:t>. No ahora.</w:t>
      </w:r>
    </w:p>
    <w:p w14:paraId="2A609BF4" w14:textId="4EEB087F" w:rsidR="00212A15" w:rsidRDefault="001E3712">
      <w:pPr>
        <w:spacing w:before="80" w:after="100"/>
        <w:jc w:val="both"/>
      </w:pPr>
      <w:r>
        <w:rPr>
          <w:i/>
          <w:iCs/>
          <w:color w:val="555555"/>
        </w:rPr>
        <w:t xml:space="preserve">El silencio que </w:t>
      </w:r>
      <w:r w:rsidR="00185DF7">
        <w:rPr>
          <w:i/>
          <w:iCs/>
          <w:color w:val="555555"/>
        </w:rPr>
        <w:t>siguió</w:t>
      </w:r>
      <w:r>
        <w:rPr>
          <w:i/>
          <w:iCs/>
          <w:color w:val="555555"/>
        </w:rPr>
        <w:t xml:space="preserve"> fue el tipo que los aventureros conocen bien: el silencio de cuando la </w:t>
      </w:r>
      <w:r w:rsidR="00185DF7">
        <w:rPr>
          <w:i/>
          <w:iCs/>
          <w:color w:val="555555"/>
        </w:rPr>
        <w:t>misión</w:t>
      </w:r>
      <w:r>
        <w:rPr>
          <w:i/>
          <w:iCs/>
          <w:color w:val="555555"/>
        </w:rPr>
        <w:t xml:space="preserve"> se complica </w:t>
      </w:r>
      <w:r w:rsidR="00185DF7">
        <w:rPr>
          <w:i/>
          <w:iCs/>
          <w:color w:val="555555"/>
        </w:rPr>
        <w:t>más</w:t>
      </w:r>
      <w:r>
        <w:rPr>
          <w:i/>
          <w:iCs/>
          <w:color w:val="555555"/>
        </w:rPr>
        <w:t xml:space="preserve"> de lo previsto.</w:t>
      </w:r>
    </w:p>
    <w:p w14:paraId="574BA985" w14:textId="77777777" w:rsidR="00212A15" w:rsidRDefault="00212A15">
      <w:pPr>
        <w:spacing w:before="200"/>
      </w:pPr>
    </w:p>
    <w:p w14:paraId="0CB330E8" w14:textId="4996AAF1" w:rsidR="00212A15" w:rsidRDefault="000E5576">
      <w:pPr>
        <w:pStyle w:val="Ttulo2"/>
        <w:spacing w:before="400" w:after="160"/>
      </w:pPr>
      <w:r>
        <w:rPr>
          <w:b w:val="0"/>
          <w:bCs w:val="0"/>
          <w:color w:val="A83010"/>
          <w:sz w:val="22"/>
          <w:szCs w:val="22"/>
        </w:rPr>
        <w:t>VI · EL</w:t>
      </w:r>
      <w:r w:rsidR="001E3712">
        <w:t xml:space="preserve"> OCTREOTIDE — EL CONJURO QUE HABLA LA LENGUA DEL TUMOR</w:t>
      </w:r>
    </w:p>
    <w:p w14:paraId="5167E2BC" w14:textId="48E3E153" w:rsidR="00212A15" w:rsidRDefault="001E3712">
      <w:pPr>
        <w:spacing w:before="80" w:after="100"/>
        <w:jc w:val="both"/>
      </w:pPr>
      <w:r>
        <w:t xml:space="preserve">Fue Livia, una alquimista del mercado de la ciudad, quien </w:t>
      </w:r>
      <w:r w:rsidR="00841C68">
        <w:t>encontró</w:t>
      </w:r>
      <w:r>
        <w:t xml:space="preserve"> la respuesta — un compuesto que los curanderos del sur llamaban </w:t>
      </w:r>
      <w:r>
        <w:rPr>
          <w:b/>
          <w:bCs/>
          <w:color w:val="7A1515"/>
        </w:rPr>
        <w:t>Octreotide</w:t>
      </w:r>
      <w:r>
        <w:t xml:space="preserve">, </w:t>
      </w:r>
      <w:r w:rsidR="000E5576">
        <w:t>análogo</w:t>
      </w:r>
      <w:r>
        <w:t xml:space="preserve"> de somatostatina, destilado de </w:t>
      </w:r>
      <w:r w:rsidR="000E5576">
        <w:t>glándulas</w:t>
      </w:r>
      <w:r>
        <w:t xml:space="preserve"> de salamandra abismal</w:t>
      </w:r>
      <w:r w:rsidR="00E470AB">
        <w:t xml:space="preserve">, no siempre funciona, y </w:t>
      </w:r>
      <w:r w:rsidR="00827E95">
        <w:t xml:space="preserve">depende de un </w:t>
      </w:r>
      <w:r w:rsidR="000E5576">
        <w:t>receptor.</w:t>
      </w:r>
    </w:p>
    <w:p w14:paraId="197237D1" w14:textId="0C36B232" w:rsidR="00212A15" w:rsidRDefault="001E3712">
      <w:pPr>
        <w:spacing w:before="60" w:after="100"/>
        <w:ind w:left="400"/>
        <w:jc w:val="both"/>
      </w:pPr>
      <w:r>
        <w:rPr>
          <w:b/>
          <w:bCs/>
          <w:i/>
          <w:iCs/>
          <w:color w:val="A83010"/>
        </w:rPr>
        <w:t xml:space="preserve">— Livia: </w:t>
      </w:r>
      <w:r>
        <w:rPr>
          <w:i/>
          <w:iCs/>
        </w:rPr>
        <w:t>No mata al tumor. Pero habla su idioma. El tumor tiene receptores — puertas — que responden a la somatostatina. Este compuesto se une a esas puertas y las cierra parcialment</w:t>
      </w:r>
      <w:r>
        <w:rPr>
          <w:i/>
          <w:iCs/>
        </w:rPr>
        <w:t xml:space="preserve">e. Reduce la </w:t>
      </w:r>
      <w:r w:rsidR="000E5576">
        <w:rPr>
          <w:i/>
          <w:iCs/>
        </w:rPr>
        <w:t>producción</w:t>
      </w:r>
      <w:r>
        <w:rPr>
          <w:i/>
          <w:iCs/>
        </w:rPr>
        <w:t xml:space="preserve"> de big IGF-2. No la elimina, pero la </w:t>
      </w:r>
      <w:r w:rsidR="000E5576">
        <w:rPr>
          <w:i/>
          <w:iCs/>
        </w:rPr>
        <w:t>atenúa</w:t>
      </w:r>
      <w:r>
        <w:rPr>
          <w:i/>
          <w:iCs/>
        </w:rPr>
        <w:t>.</w:t>
      </w:r>
    </w:p>
    <w:p w14:paraId="4DD40785" w14:textId="77777777" w:rsidR="00212A15" w:rsidRDefault="00212A1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12A15" w14:paraId="318F345C" w14:textId="77777777">
        <w:tblPrEx>
          <w:tblCellMar>
            <w:top w:w="0" w:type="dxa"/>
            <w:bottom w:w="0" w:type="dxa"/>
          </w:tblCellMar>
        </w:tblPrEx>
        <w:tc>
          <w:tcPr>
            <w:tcW w:w="9360" w:type="dxa"/>
            <w:tcBorders>
              <w:top w:val="single" w:sz="1" w:space="0" w:color="2A6040"/>
              <w:left w:val="single" w:sz="14" w:space="0" w:color="2A6040"/>
              <w:bottom w:val="none" w:sz="0" w:space="0" w:color="FFFFFF"/>
              <w:right w:val="none" w:sz="0" w:space="0" w:color="FFFFFF"/>
            </w:tcBorders>
            <w:shd w:val="clear" w:color="auto" w:fill="F0F7F2"/>
            <w:tcMar>
              <w:top w:w="100" w:type="dxa"/>
              <w:left w:w="200" w:type="dxa"/>
              <w:bottom w:w="0" w:type="dxa"/>
              <w:right w:w="160" w:type="dxa"/>
            </w:tcMar>
          </w:tcPr>
          <w:p w14:paraId="5A3154CD" w14:textId="77777777" w:rsidR="00212A15" w:rsidRDefault="001E3712">
            <w:r>
              <w:rPr>
                <w:rFonts w:ascii="Arial" w:eastAsia="Arial" w:hAnsi="Arial" w:cs="Arial"/>
                <w:b/>
                <w:bCs/>
                <w:color w:val="2A6040"/>
                <w:sz w:val="17"/>
                <w:szCs w:val="17"/>
              </w:rPr>
              <w:t>Octreotide en DPS</w:t>
            </w:r>
          </w:p>
        </w:tc>
      </w:tr>
      <w:tr w:rsidR="00212A15" w14:paraId="54A1FFD7" w14:textId="77777777">
        <w:tblPrEx>
          <w:tblCellMar>
            <w:top w:w="0" w:type="dxa"/>
            <w:bottom w:w="0" w:type="dxa"/>
          </w:tblCellMar>
        </w:tblPrEx>
        <w:tc>
          <w:tcPr>
            <w:tcW w:w="9360" w:type="dxa"/>
            <w:tcBorders>
              <w:top w:val="none" w:sz="0" w:space="0" w:color="FFFFFF"/>
              <w:left w:val="single" w:sz="14" w:space="0" w:color="2A6040"/>
              <w:bottom w:val="single" w:sz="1" w:space="0" w:color="2A6040"/>
              <w:right w:val="none" w:sz="0" w:space="0" w:color="FFFFFF"/>
            </w:tcBorders>
            <w:shd w:val="clear" w:color="auto" w:fill="F0F7F2"/>
            <w:tcMar>
              <w:top w:w="40" w:type="dxa"/>
              <w:left w:w="200" w:type="dxa"/>
              <w:bottom w:w="120" w:type="dxa"/>
              <w:right w:w="160" w:type="dxa"/>
            </w:tcMar>
          </w:tcPr>
          <w:p w14:paraId="5DD878E0" w14:textId="03A86A36" w:rsidR="00212A15" w:rsidRDefault="000E5576">
            <w:pPr>
              <w:jc w:val="both"/>
            </w:pPr>
            <w:r>
              <w:rPr>
                <w:i/>
                <w:iCs/>
                <w:sz w:val="20"/>
                <w:szCs w:val="20"/>
              </w:rPr>
              <w:t>Análogo</w:t>
            </w:r>
            <w:r w:rsidR="001E3712">
              <w:rPr>
                <w:i/>
                <w:iCs/>
                <w:sz w:val="20"/>
                <w:szCs w:val="20"/>
              </w:rPr>
              <w:t xml:space="preserve"> de somatostatina. Reduce la </w:t>
            </w:r>
            <w:r>
              <w:rPr>
                <w:i/>
                <w:iCs/>
                <w:sz w:val="20"/>
                <w:szCs w:val="20"/>
              </w:rPr>
              <w:t>secreción</w:t>
            </w:r>
            <w:r w:rsidR="001E3712">
              <w:rPr>
                <w:i/>
                <w:iCs/>
                <w:sz w:val="20"/>
                <w:szCs w:val="20"/>
              </w:rPr>
              <w:t xml:space="preserve"> tumoral de big IGF-2 en tumores con receptores SSTR. Eficacia variable. Dosis: 100-200 mcg SC c/8h o </w:t>
            </w:r>
            <w:r w:rsidR="00DC5316">
              <w:rPr>
                <w:i/>
                <w:iCs/>
                <w:sz w:val="20"/>
                <w:szCs w:val="20"/>
              </w:rPr>
              <w:t>formulación</w:t>
            </w:r>
            <w:r w:rsidR="001E3712">
              <w:rPr>
                <w:i/>
                <w:iCs/>
                <w:sz w:val="20"/>
                <w:szCs w:val="20"/>
              </w:rPr>
              <w:t xml:space="preserve"> LAR mensual. Idealmente confirmar </w:t>
            </w:r>
            <w:r w:rsidR="00DC5316">
              <w:rPr>
                <w:i/>
                <w:iCs/>
                <w:sz w:val="20"/>
                <w:szCs w:val="20"/>
              </w:rPr>
              <w:t>expresión</w:t>
            </w:r>
            <w:r w:rsidR="001E3712">
              <w:rPr>
                <w:i/>
                <w:iCs/>
                <w:sz w:val="20"/>
                <w:szCs w:val="20"/>
              </w:rPr>
              <w:t xml:space="preserve"> SSTR con PET Ga-68 DOTATATE antes de iniciar.</w:t>
            </w:r>
          </w:p>
        </w:tc>
      </w:tr>
    </w:tbl>
    <w:p w14:paraId="65E0CC78" w14:textId="77777777" w:rsidR="00212A15" w:rsidRDefault="00212A15">
      <w:pPr>
        <w:spacing w:before="100"/>
      </w:pPr>
    </w:p>
    <w:p w14:paraId="7C1110F9" w14:textId="52A7EA1D" w:rsidR="00212A15" w:rsidRDefault="001E3712">
      <w:pPr>
        <w:spacing w:before="80" w:after="100"/>
        <w:jc w:val="both"/>
      </w:pPr>
      <w:r>
        <w:t xml:space="preserve">El primer </w:t>
      </w:r>
      <w:r w:rsidR="00DC5316">
        <w:t>día</w:t>
      </w:r>
      <w:r>
        <w:t xml:space="preserve"> con Octreotide, el cristal de Marcus marco cincuenta y ocho. Luego setenta y dos. Luego ochenta y cuatro. Torum </w:t>
      </w:r>
      <w:r w:rsidR="00185DF7">
        <w:t>comió</w:t>
      </w:r>
      <w:r>
        <w:t xml:space="preserve"> una </w:t>
      </w:r>
      <w:r w:rsidR="00185DF7">
        <w:t>ración</w:t>
      </w:r>
      <w:r>
        <w:t xml:space="preserve"> normal — solo una — y el cristal se mantuvo verde durante cuatro horas completas.</w:t>
      </w:r>
    </w:p>
    <w:p w14:paraId="35C52A8D" w14:textId="77777777" w:rsidR="00212A15" w:rsidRDefault="001E3712">
      <w:pPr>
        <w:spacing w:before="80" w:after="100"/>
        <w:jc w:val="both"/>
      </w:pPr>
      <w:r>
        <w:t xml:space="preserve">El Tiefling estuvo en silencio </w:t>
      </w:r>
      <w:r>
        <w:t>mucho tiempo, mirando el cristal verde.</w:t>
      </w:r>
    </w:p>
    <w:p w14:paraId="67FE3411" w14:textId="43D30002" w:rsidR="00212A15" w:rsidRDefault="001E3712">
      <w:pPr>
        <w:spacing w:before="60" w:after="100"/>
        <w:ind w:left="400"/>
        <w:jc w:val="both"/>
      </w:pPr>
      <w:r>
        <w:rPr>
          <w:b/>
          <w:bCs/>
          <w:i/>
          <w:iCs/>
          <w:color w:val="A83010"/>
        </w:rPr>
        <w:t xml:space="preserve">— Torum: </w:t>
      </w:r>
      <w:r>
        <w:rPr>
          <w:i/>
          <w:iCs/>
        </w:rPr>
        <w:t xml:space="preserve">Llevaba </w:t>
      </w:r>
      <w:r w:rsidR="00185DF7">
        <w:rPr>
          <w:i/>
          <w:iCs/>
        </w:rPr>
        <w:t>años</w:t>
      </w:r>
      <w:r>
        <w:rPr>
          <w:i/>
          <w:iCs/>
        </w:rPr>
        <w:t xml:space="preserve"> pensando que era lo que soy. Sangre infernal. La marca del Abismo. El hambre como castigo ancestral.</w:t>
      </w:r>
    </w:p>
    <w:p w14:paraId="1E207001" w14:textId="77777777" w:rsidR="00212A15" w:rsidRDefault="001E3712">
      <w:pPr>
        <w:spacing w:before="60" w:after="100"/>
        <w:ind w:left="400"/>
        <w:jc w:val="both"/>
      </w:pPr>
      <w:r>
        <w:rPr>
          <w:b/>
          <w:bCs/>
          <w:i/>
          <w:iCs/>
          <w:color w:val="A83010"/>
        </w:rPr>
        <w:t xml:space="preserve">— Aryam: </w:t>
      </w:r>
      <w:r>
        <w:rPr>
          <w:i/>
          <w:iCs/>
        </w:rPr>
        <w:t>No era el Abismo. Era un tumor.</w:t>
      </w:r>
    </w:p>
    <w:p w14:paraId="5D75AB8E" w14:textId="44AFE1E3" w:rsidR="00212A15" w:rsidRDefault="001E3712">
      <w:pPr>
        <w:spacing w:before="80" w:after="100"/>
        <w:ind w:left="400"/>
        <w:jc w:val="both"/>
      </w:pPr>
      <w:r>
        <w:rPr>
          <w:i/>
          <w:iCs/>
          <w:color w:val="555555"/>
        </w:rPr>
        <w:t xml:space="preserve">Y en la voz de Torum </w:t>
      </w:r>
      <w:r w:rsidR="00DC5316">
        <w:rPr>
          <w:i/>
          <w:iCs/>
          <w:color w:val="555555"/>
        </w:rPr>
        <w:t>había</w:t>
      </w:r>
      <w:r>
        <w:rPr>
          <w:i/>
          <w:iCs/>
          <w:color w:val="555555"/>
        </w:rPr>
        <w:t xml:space="preserve"> algo </w:t>
      </w:r>
      <w:r w:rsidR="00DC5316">
        <w:rPr>
          <w:i/>
          <w:iCs/>
          <w:color w:val="555555"/>
        </w:rPr>
        <w:t>difícil</w:t>
      </w:r>
      <w:r>
        <w:rPr>
          <w:i/>
          <w:iCs/>
          <w:color w:val="555555"/>
        </w:rPr>
        <w:t xml:space="preserve"> de nombrar: </w:t>
      </w:r>
      <w:r>
        <w:rPr>
          <w:i/>
          <w:iCs/>
          <w:color w:val="555555"/>
        </w:rPr>
        <w:t xml:space="preserve">no alivio exactamente, sino el peculiar </w:t>
      </w:r>
      <w:r w:rsidR="00DC5316">
        <w:rPr>
          <w:i/>
          <w:iCs/>
          <w:color w:val="555555"/>
        </w:rPr>
        <w:t>vértigo</w:t>
      </w:r>
      <w:r>
        <w:rPr>
          <w:i/>
          <w:iCs/>
          <w:color w:val="555555"/>
        </w:rPr>
        <w:t xml:space="preserve"> de descubrir que el monstruo que </w:t>
      </w:r>
      <w:r w:rsidR="00DC5316">
        <w:rPr>
          <w:i/>
          <w:iCs/>
          <w:color w:val="555555"/>
        </w:rPr>
        <w:t>creías</w:t>
      </w:r>
      <w:r>
        <w:rPr>
          <w:i/>
          <w:iCs/>
          <w:color w:val="555555"/>
        </w:rPr>
        <w:t xml:space="preserve"> ser era, en realidad, un paciente.</w:t>
      </w:r>
    </w:p>
    <w:p w14:paraId="06435496" w14:textId="77777777" w:rsidR="00212A15" w:rsidRDefault="00212A15">
      <w:pPr>
        <w:spacing w:before="200"/>
      </w:pPr>
    </w:p>
    <w:p w14:paraId="6010A47B" w14:textId="5B49C68A" w:rsidR="00212A15" w:rsidRDefault="00DC5316">
      <w:pPr>
        <w:pStyle w:val="Ttulo2"/>
        <w:spacing w:before="400" w:after="160"/>
      </w:pPr>
      <w:r>
        <w:rPr>
          <w:b w:val="0"/>
          <w:bCs w:val="0"/>
          <w:color w:val="A83010"/>
          <w:sz w:val="22"/>
          <w:szCs w:val="22"/>
        </w:rPr>
        <w:t>VII · EPILOGO</w:t>
      </w:r>
    </w:p>
    <w:p w14:paraId="7982E00B" w14:textId="4B62A2BD" w:rsidR="00212A15" w:rsidRDefault="001E3712">
      <w:pPr>
        <w:spacing w:before="80" w:after="100"/>
        <w:jc w:val="both"/>
      </w:pPr>
      <w:r>
        <w:t xml:space="preserve">Torum </w:t>
      </w:r>
      <w:r w:rsidR="00DC5316">
        <w:t>siguió</w:t>
      </w:r>
      <w:r>
        <w:t xml:space="preserve"> con el Octreotide. El tumor no </w:t>
      </w:r>
      <w:r w:rsidR="00DC5316">
        <w:t>había</w:t>
      </w:r>
      <w:r>
        <w:t xml:space="preserve"> desaparecido — solo estaba </w:t>
      </w:r>
      <w:r w:rsidR="00DC5316">
        <w:t>más</w:t>
      </w:r>
      <w:r>
        <w:t xml:space="preserve"> silencioso. Pero ya no </w:t>
      </w:r>
      <w:r w:rsidR="00185DF7">
        <w:t>caía</w:t>
      </w:r>
      <w:r>
        <w:t xml:space="preserve">. Ya no se despertaba con el cristal en rojo. Ya no </w:t>
      </w:r>
      <w:r w:rsidR="00185DF7">
        <w:t>perdía</w:t>
      </w:r>
      <w:r>
        <w:t xml:space="preserve"> los ojos en mitad de una batalla.</w:t>
      </w:r>
    </w:p>
    <w:p w14:paraId="2C9B1DDE" w14:textId="77777777" w:rsidR="00212A15" w:rsidRDefault="00212A15">
      <w:pPr>
        <w:spacing w:before="160"/>
      </w:pPr>
    </w:p>
    <w:p w14:paraId="55D58FF5" w14:textId="77777777" w:rsidR="00212A15" w:rsidRDefault="001E3712">
      <w:pPr>
        <w:spacing w:before="200" w:after="200"/>
        <w:jc w:val="center"/>
      </w:pPr>
      <w:r>
        <w:rPr>
          <w:color w:val="A83010"/>
        </w:rPr>
        <w:t>* * *</w:t>
      </w:r>
    </w:p>
    <w:p w14:paraId="7D00A0B0" w14:textId="77777777" w:rsidR="00212A15" w:rsidRDefault="00212A15">
      <w:pPr>
        <w:spacing w:before="100"/>
      </w:pPr>
    </w:p>
    <w:p w14:paraId="1C21755A" w14:textId="78CFE9D4" w:rsidR="00212A15" w:rsidRDefault="001E3712">
      <w:pPr>
        <w:spacing w:before="80" w:after="80"/>
        <w:jc w:val="both"/>
      </w:pPr>
      <w:r>
        <w:rPr>
          <w:i/>
          <w:iCs/>
          <w:color w:val="555555"/>
        </w:rPr>
        <w:t xml:space="preserve">Torum Solis </w:t>
      </w:r>
      <w:r w:rsidR="00252E43">
        <w:rPr>
          <w:i/>
          <w:iCs/>
          <w:color w:val="555555"/>
        </w:rPr>
        <w:t>siguió</w:t>
      </w:r>
      <w:r>
        <w:rPr>
          <w:i/>
          <w:iCs/>
          <w:color w:val="555555"/>
        </w:rPr>
        <w:t xml:space="preserve"> siendo Tiefling — cuernos, cola, ojos de </w:t>
      </w:r>
      <w:r w:rsidR="00DC5316">
        <w:rPr>
          <w:i/>
          <w:iCs/>
          <w:color w:val="555555"/>
        </w:rPr>
        <w:t>ámbar</w:t>
      </w:r>
      <w:r>
        <w:rPr>
          <w:i/>
          <w:iCs/>
          <w:color w:val="555555"/>
        </w:rPr>
        <w:t xml:space="preserve">. </w:t>
      </w:r>
      <w:r w:rsidR="00252E43">
        <w:rPr>
          <w:i/>
          <w:iCs/>
          <w:color w:val="555555"/>
        </w:rPr>
        <w:t>Siguió</w:t>
      </w:r>
      <w:r>
        <w:rPr>
          <w:i/>
          <w:iCs/>
          <w:color w:val="555555"/>
        </w:rPr>
        <w:t xml:space="preserve"> teniendo hambre. Pero por primera vez en cuarenta y tres </w:t>
      </w:r>
      <w:r w:rsidR="00252E43">
        <w:rPr>
          <w:i/>
          <w:iCs/>
          <w:color w:val="555555"/>
        </w:rPr>
        <w:t>años</w:t>
      </w:r>
      <w:r>
        <w:rPr>
          <w:i/>
          <w:iCs/>
          <w:color w:val="555555"/>
        </w:rPr>
        <w:t xml:space="preserve">, </w:t>
      </w:r>
      <w:r w:rsidR="00252E43">
        <w:rPr>
          <w:i/>
          <w:iCs/>
          <w:color w:val="555555"/>
        </w:rPr>
        <w:t>sabía</w:t>
      </w:r>
      <w:r>
        <w:rPr>
          <w:i/>
          <w:iCs/>
          <w:color w:val="555555"/>
        </w:rPr>
        <w:t xml:space="preserve"> que el hambre no era la </w:t>
      </w:r>
      <w:r w:rsidR="00252E43">
        <w:rPr>
          <w:i/>
          <w:iCs/>
          <w:color w:val="555555"/>
        </w:rPr>
        <w:t>maldición</w:t>
      </w:r>
      <w:r>
        <w:rPr>
          <w:i/>
          <w:iCs/>
          <w:color w:val="555555"/>
        </w:rPr>
        <w:t xml:space="preserve"> de sus ancestros.</w:t>
      </w:r>
    </w:p>
    <w:p w14:paraId="4A9FC973" w14:textId="26F24398" w:rsidR="00212A15" w:rsidRDefault="001E3712">
      <w:pPr>
        <w:spacing w:before="120" w:after="240"/>
        <w:jc w:val="center"/>
      </w:pPr>
      <w:r>
        <w:rPr>
          <w:b/>
          <w:bCs/>
          <w:i/>
          <w:iCs/>
          <w:color w:val="7A1515"/>
        </w:rPr>
        <w:t xml:space="preserve">Era una enfermedad con nombre, con </w:t>
      </w:r>
      <w:r w:rsidR="00252E43">
        <w:rPr>
          <w:b/>
          <w:bCs/>
          <w:i/>
          <w:iCs/>
          <w:color w:val="7A1515"/>
        </w:rPr>
        <w:t>fisiopatología</w:t>
      </w:r>
      <w:r>
        <w:rPr>
          <w:b/>
          <w:bCs/>
          <w:i/>
          <w:iCs/>
          <w:color w:val="7A1515"/>
        </w:rPr>
        <w:t>, con tratamiento.</w:t>
      </w:r>
    </w:p>
    <w:p w14:paraId="6F000CC1" w14:textId="77777777" w:rsidR="00212A15" w:rsidRDefault="00212A15">
      <w:pPr>
        <w:pBdr>
          <w:bottom w:val="single" w:sz="10" w:space="1" w:color="7A1515"/>
        </w:pBdr>
        <w:spacing w:before="120" w:after="120"/>
      </w:pPr>
    </w:p>
    <w:p w14:paraId="6FF628FE" w14:textId="77777777" w:rsidR="00212A15" w:rsidRDefault="00212A15">
      <w:pPr>
        <w:spacing w:before="120"/>
      </w:pPr>
    </w:p>
    <w:p w14:paraId="518F933B" w14:textId="24F5368E" w:rsidR="00212A15" w:rsidRDefault="00DC5316">
      <w:pPr>
        <w:spacing w:after="200"/>
        <w:jc w:val="center"/>
      </w:pPr>
      <w:r>
        <w:rPr>
          <w:rFonts w:ascii="Arial" w:eastAsia="Arial" w:hAnsi="Arial" w:cs="Arial"/>
          <w:b/>
          <w:bCs/>
          <w:color w:val="7A1515"/>
        </w:rPr>
        <w:t>FISIOPATOLOGIA -- El</w:t>
      </w:r>
      <w:r w:rsidR="001E3712">
        <w:rPr>
          <w:rFonts w:ascii="Arial" w:eastAsia="Arial" w:hAnsi="Arial" w:cs="Arial"/>
          <w:b/>
          <w:bCs/>
          <w:color w:val="7A1515"/>
        </w:rPr>
        <w:t xml:space="preserve"> mecanismo del Alquimista Oscuro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12A15" w14:paraId="60ED422F" w14:textId="77777777">
        <w:tblPrEx>
          <w:tblCellMar>
            <w:top w:w="0" w:type="dxa"/>
            <w:bottom w:w="0" w:type="dxa"/>
          </w:tblCellMar>
        </w:tblPrEx>
        <w:tc>
          <w:tcPr>
            <w:tcW w:w="9360" w:type="dxa"/>
            <w:tcBorders>
              <w:top w:val="single" w:sz="10" w:space="0" w:color="8B6914"/>
              <w:left w:val="single" w:sz="20" w:space="0" w:color="8B6914"/>
              <w:bottom w:val="none" w:sz="0" w:space="0" w:color="FFFFFF"/>
              <w:right w:val="none" w:sz="0" w:space="0" w:color="FFFFFF"/>
            </w:tcBorders>
            <w:shd w:val="clear" w:color="auto" w:fill="FBF6E8"/>
            <w:tcMar>
              <w:top w:w="140" w:type="dxa"/>
              <w:left w:w="220" w:type="dxa"/>
              <w:bottom w:w="60" w:type="dxa"/>
              <w:right w:w="180" w:type="dxa"/>
            </w:tcMar>
          </w:tcPr>
          <w:p w14:paraId="0C101B20" w14:textId="77777777" w:rsidR="00212A15" w:rsidRDefault="001E3712">
            <w:r>
              <w:rPr>
                <w:rFonts w:ascii="Arial" w:eastAsia="Arial" w:hAnsi="Arial" w:cs="Arial"/>
                <w:b/>
                <w:bCs/>
                <w:color w:val="8B6914"/>
                <w:sz w:val="18"/>
                <w:szCs w:val="18"/>
              </w:rPr>
              <w:t>◆ IGF-2 normal vs big IGF-2</w:t>
            </w:r>
          </w:p>
        </w:tc>
      </w:tr>
      <w:tr w:rsidR="00212A15" w14:paraId="2ADC41DF" w14:textId="77777777">
        <w:tblPrEx>
          <w:tblCellMar>
            <w:top w:w="0" w:type="dxa"/>
            <w:bottom w:w="0" w:type="dxa"/>
          </w:tblCellMar>
        </w:tblPrEx>
        <w:tc>
          <w:tcPr>
            <w:tcW w:w="9360" w:type="dxa"/>
            <w:tcBorders>
              <w:top w:val="none" w:sz="0" w:space="0" w:color="FFFFFF"/>
              <w:left w:val="single" w:sz="20" w:space="0" w:color="8B6914"/>
              <w:bottom w:val="single" w:sz="10" w:space="0" w:color="8B6914"/>
              <w:right w:val="none" w:sz="0" w:space="0" w:color="FFFFFF"/>
            </w:tcBorders>
            <w:shd w:val="clear" w:color="auto" w:fill="FBF6E8"/>
            <w:tcMar>
              <w:top w:w="40" w:type="dxa"/>
              <w:left w:w="220" w:type="dxa"/>
              <w:bottom w:w="160" w:type="dxa"/>
              <w:right w:w="180" w:type="dxa"/>
            </w:tcMar>
          </w:tcPr>
          <w:p w14:paraId="091101AF" w14:textId="506D41A6" w:rsidR="00212A15" w:rsidRDefault="001E3712">
            <w:pPr>
              <w:pStyle w:val="Prrafodelista"/>
              <w:numPr>
                <w:ilvl w:val="0"/>
                <w:numId w:val="2"/>
              </w:numPr>
              <w:spacing w:before="60" w:after="60"/>
            </w:pPr>
            <w:r>
              <w:rPr>
                <w:b/>
                <w:bCs/>
                <w:color w:val="8B6914"/>
                <w:sz w:val="21"/>
                <w:szCs w:val="21"/>
              </w:rPr>
              <w:t xml:space="preserve">IGF-2 normal: </w:t>
            </w:r>
            <w:r>
              <w:rPr>
                <w:sz w:val="21"/>
                <w:szCs w:val="21"/>
              </w:rPr>
              <w:t xml:space="preserve"> circula unido a IGFBP-3 y subunidad acido-</w:t>
            </w:r>
            <w:r w:rsidR="00DC5316">
              <w:rPr>
                <w:sz w:val="21"/>
                <w:szCs w:val="21"/>
              </w:rPr>
              <w:t>lábil</w:t>
            </w:r>
            <w:r>
              <w:rPr>
                <w:sz w:val="21"/>
                <w:szCs w:val="21"/>
              </w:rPr>
              <w:t xml:space="preserve"> formando un complejo ternario de alto p</w:t>
            </w:r>
            <w:r>
              <w:rPr>
                <w:sz w:val="21"/>
                <w:szCs w:val="21"/>
              </w:rPr>
              <w:t xml:space="preserve">eso molecular que NO cruza la barrera endotelial — </w:t>
            </w:r>
            <w:r w:rsidR="00DC5316">
              <w:rPr>
                <w:sz w:val="21"/>
                <w:szCs w:val="21"/>
              </w:rPr>
              <w:t>biológicamente</w:t>
            </w:r>
            <w:r>
              <w:rPr>
                <w:sz w:val="21"/>
                <w:szCs w:val="21"/>
              </w:rPr>
              <w:t xml:space="preserve"> inactivo en la periferia.</w:t>
            </w:r>
          </w:p>
          <w:p w14:paraId="6C7A4CAC" w14:textId="3E893639" w:rsidR="00212A15" w:rsidRDefault="001E3712">
            <w:pPr>
              <w:pStyle w:val="Prrafodelista"/>
              <w:numPr>
                <w:ilvl w:val="0"/>
                <w:numId w:val="2"/>
              </w:numPr>
              <w:spacing w:before="60" w:after="60"/>
            </w:pPr>
            <w:r>
              <w:rPr>
                <w:b/>
                <w:bCs/>
                <w:color w:val="8B6914"/>
                <w:sz w:val="21"/>
                <w:szCs w:val="21"/>
              </w:rPr>
              <w:t xml:space="preserve">Big IGF-2: </w:t>
            </w:r>
            <w:r>
              <w:rPr>
                <w:sz w:val="21"/>
                <w:szCs w:val="21"/>
              </w:rPr>
              <w:t xml:space="preserve"> forma incompletamente procesada producida por el SFT. Solo puede formar complejos BINARIOS con IGFBP-3. Este complejo es </w:t>
            </w:r>
            <w:r w:rsidR="00DC5316">
              <w:rPr>
                <w:sz w:val="21"/>
                <w:szCs w:val="21"/>
              </w:rPr>
              <w:t>más</w:t>
            </w:r>
            <w:r>
              <w:rPr>
                <w:sz w:val="21"/>
                <w:szCs w:val="21"/>
              </w:rPr>
              <w:t xml:space="preserve"> </w:t>
            </w:r>
            <w:r w:rsidR="00DC5316">
              <w:rPr>
                <w:sz w:val="21"/>
                <w:szCs w:val="21"/>
              </w:rPr>
              <w:t>pequeño</w:t>
            </w:r>
            <w:r>
              <w:rPr>
                <w:sz w:val="21"/>
                <w:szCs w:val="21"/>
              </w:rPr>
              <w:t>, cruza la barrera e</w:t>
            </w:r>
            <w:r>
              <w:rPr>
                <w:sz w:val="21"/>
                <w:szCs w:val="21"/>
              </w:rPr>
              <w:t xml:space="preserve">ndotelial y satura receptores de insulina e IGF-1R en tejidos </w:t>
            </w:r>
            <w:r w:rsidR="00DC5316">
              <w:rPr>
                <w:sz w:val="21"/>
                <w:szCs w:val="21"/>
              </w:rPr>
              <w:t>periféricos</w:t>
            </w:r>
            <w:r>
              <w:rPr>
                <w:sz w:val="21"/>
                <w:szCs w:val="21"/>
              </w:rPr>
              <w:t>.</w:t>
            </w:r>
          </w:p>
        </w:tc>
      </w:tr>
    </w:tbl>
    <w:p w14:paraId="5ED7C454" w14:textId="77777777" w:rsidR="00212A15" w:rsidRDefault="00212A15">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12A15" w14:paraId="3A59DA1E" w14:textId="77777777">
        <w:tblPrEx>
          <w:tblCellMar>
            <w:top w:w="0" w:type="dxa"/>
            <w:bottom w:w="0" w:type="dxa"/>
          </w:tblCellMar>
        </w:tblPrEx>
        <w:tc>
          <w:tcPr>
            <w:tcW w:w="9360" w:type="dxa"/>
            <w:tcBorders>
              <w:top w:val="single" w:sz="10" w:space="0" w:color="5030A0"/>
              <w:left w:val="single" w:sz="20" w:space="0" w:color="5030A0"/>
              <w:bottom w:val="none" w:sz="0" w:space="0" w:color="FFFFFF"/>
              <w:right w:val="none" w:sz="0" w:space="0" w:color="FFFFFF"/>
            </w:tcBorders>
            <w:shd w:val="clear" w:color="auto" w:fill="F4F0FA"/>
            <w:tcMar>
              <w:top w:w="140" w:type="dxa"/>
              <w:left w:w="220" w:type="dxa"/>
              <w:bottom w:w="60" w:type="dxa"/>
              <w:right w:w="180" w:type="dxa"/>
            </w:tcMar>
          </w:tcPr>
          <w:p w14:paraId="1693ACD3" w14:textId="77777777" w:rsidR="00212A15" w:rsidRDefault="001E3712">
            <w:r>
              <w:rPr>
                <w:rFonts w:ascii="Arial" w:eastAsia="Arial" w:hAnsi="Arial" w:cs="Arial"/>
                <w:b/>
                <w:bCs/>
                <w:color w:val="5030A0"/>
                <w:sz w:val="18"/>
                <w:szCs w:val="18"/>
              </w:rPr>
              <w:t>◆ Efectos del big IGF-2 en el organismo</w:t>
            </w:r>
          </w:p>
        </w:tc>
      </w:tr>
      <w:tr w:rsidR="00212A15" w14:paraId="26301255" w14:textId="77777777">
        <w:tblPrEx>
          <w:tblCellMar>
            <w:top w:w="0" w:type="dxa"/>
            <w:bottom w:w="0" w:type="dxa"/>
          </w:tblCellMar>
        </w:tblPrEx>
        <w:tc>
          <w:tcPr>
            <w:tcW w:w="9360" w:type="dxa"/>
            <w:tcBorders>
              <w:top w:val="none" w:sz="0" w:space="0" w:color="FFFFFF"/>
              <w:left w:val="single" w:sz="20" w:space="0" w:color="5030A0"/>
              <w:bottom w:val="single" w:sz="10" w:space="0" w:color="5030A0"/>
              <w:right w:val="none" w:sz="0" w:space="0" w:color="FFFFFF"/>
            </w:tcBorders>
            <w:shd w:val="clear" w:color="auto" w:fill="F4F0FA"/>
            <w:tcMar>
              <w:top w:w="40" w:type="dxa"/>
              <w:left w:w="220" w:type="dxa"/>
              <w:bottom w:w="160" w:type="dxa"/>
              <w:right w:w="180" w:type="dxa"/>
            </w:tcMar>
          </w:tcPr>
          <w:p w14:paraId="241184F8" w14:textId="304AB334" w:rsidR="00212A15" w:rsidRDefault="001E3712">
            <w:pPr>
              <w:pStyle w:val="Prrafodelista"/>
              <w:numPr>
                <w:ilvl w:val="0"/>
                <w:numId w:val="2"/>
              </w:numPr>
              <w:spacing w:before="60" w:after="60"/>
            </w:pPr>
            <w:r>
              <w:rPr>
                <w:b/>
                <w:bCs/>
                <w:color w:val="5030A0"/>
                <w:sz w:val="21"/>
                <w:szCs w:val="21"/>
              </w:rPr>
              <w:t xml:space="preserve">Consumo </w:t>
            </w:r>
            <w:r w:rsidR="00DC5316">
              <w:rPr>
                <w:b/>
                <w:bCs/>
                <w:color w:val="5030A0"/>
                <w:sz w:val="21"/>
                <w:szCs w:val="21"/>
              </w:rPr>
              <w:t>periférico</w:t>
            </w:r>
            <w:r>
              <w:rPr>
                <w:b/>
                <w:bCs/>
                <w:color w:val="5030A0"/>
                <w:sz w:val="21"/>
                <w:szCs w:val="21"/>
              </w:rPr>
              <w:t xml:space="preserve"> de glucosa: </w:t>
            </w:r>
            <w:r>
              <w:rPr>
                <w:sz w:val="21"/>
                <w:szCs w:val="21"/>
              </w:rPr>
              <w:t xml:space="preserve"> el big IGF-2 activa receptores de insulina en musculo </w:t>
            </w:r>
            <w:r w:rsidR="00DC5316">
              <w:rPr>
                <w:sz w:val="21"/>
                <w:szCs w:val="21"/>
              </w:rPr>
              <w:t>esquelético</w:t>
            </w:r>
            <w:r>
              <w:rPr>
                <w:sz w:val="21"/>
                <w:szCs w:val="21"/>
              </w:rPr>
              <w:t xml:space="preserve"> y tejido adiposo, aumentando la </w:t>
            </w:r>
            <w:r w:rsidR="00DC5316">
              <w:rPr>
                <w:sz w:val="21"/>
                <w:szCs w:val="21"/>
              </w:rPr>
              <w:t>captación</w:t>
            </w:r>
            <w:r>
              <w:rPr>
                <w:sz w:val="21"/>
                <w:szCs w:val="21"/>
              </w:rPr>
              <w:t xml:space="preserve"> y consumo de glucosa independientemente de la insulina </w:t>
            </w:r>
            <w:r w:rsidR="00DC5316">
              <w:rPr>
                <w:sz w:val="21"/>
                <w:szCs w:val="21"/>
              </w:rPr>
              <w:t>pancreática</w:t>
            </w:r>
            <w:r>
              <w:rPr>
                <w:sz w:val="21"/>
                <w:szCs w:val="21"/>
              </w:rPr>
              <w:t>.</w:t>
            </w:r>
          </w:p>
          <w:p w14:paraId="4F26F04A" w14:textId="5489CE26" w:rsidR="00212A15" w:rsidRDefault="00DC5316">
            <w:pPr>
              <w:pStyle w:val="Prrafodelista"/>
              <w:numPr>
                <w:ilvl w:val="0"/>
                <w:numId w:val="2"/>
              </w:numPr>
              <w:spacing w:before="60" w:after="60"/>
            </w:pPr>
            <w:r>
              <w:rPr>
                <w:b/>
                <w:bCs/>
                <w:color w:val="5030A0"/>
                <w:sz w:val="21"/>
                <w:szCs w:val="21"/>
              </w:rPr>
              <w:t>Supresión</w:t>
            </w:r>
            <w:r w:rsidR="001E3712">
              <w:rPr>
                <w:b/>
                <w:bCs/>
                <w:color w:val="5030A0"/>
                <w:sz w:val="21"/>
                <w:szCs w:val="21"/>
              </w:rPr>
              <w:t xml:space="preserve"> de </w:t>
            </w:r>
            <w:r>
              <w:rPr>
                <w:b/>
                <w:bCs/>
                <w:color w:val="5030A0"/>
                <w:sz w:val="21"/>
                <w:szCs w:val="21"/>
              </w:rPr>
              <w:t>glucagón</w:t>
            </w:r>
            <w:r w:rsidR="001E3712">
              <w:rPr>
                <w:b/>
                <w:bCs/>
                <w:color w:val="5030A0"/>
                <w:sz w:val="21"/>
                <w:szCs w:val="21"/>
              </w:rPr>
              <w:t xml:space="preserve">: </w:t>
            </w:r>
            <w:r w:rsidR="001E3712">
              <w:rPr>
                <w:sz w:val="21"/>
                <w:szCs w:val="21"/>
              </w:rPr>
              <w:t xml:space="preserve"> inhibe la </w:t>
            </w:r>
            <w:r>
              <w:rPr>
                <w:sz w:val="21"/>
                <w:szCs w:val="21"/>
              </w:rPr>
              <w:t>secreción</w:t>
            </w:r>
            <w:r w:rsidR="001E3712">
              <w:rPr>
                <w:sz w:val="21"/>
                <w:szCs w:val="21"/>
              </w:rPr>
              <w:t xml:space="preserve"> de </w:t>
            </w:r>
            <w:r>
              <w:rPr>
                <w:sz w:val="21"/>
                <w:szCs w:val="21"/>
              </w:rPr>
              <w:t>glucagón</w:t>
            </w:r>
            <w:r w:rsidR="001E3712">
              <w:rPr>
                <w:sz w:val="21"/>
                <w:szCs w:val="21"/>
              </w:rPr>
              <w:t xml:space="preserve"> en las </w:t>
            </w:r>
            <w:r>
              <w:rPr>
                <w:sz w:val="21"/>
                <w:szCs w:val="21"/>
              </w:rPr>
              <w:t>células</w:t>
            </w:r>
            <w:r w:rsidR="001E3712">
              <w:rPr>
                <w:sz w:val="21"/>
                <w:szCs w:val="21"/>
              </w:rPr>
              <w:t xml:space="preserve"> alfa del</w:t>
            </w:r>
            <w:r w:rsidR="001E3712">
              <w:rPr>
                <w:sz w:val="21"/>
                <w:szCs w:val="21"/>
              </w:rPr>
              <w:t xml:space="preserve"> </w:t>
            </w:r>
            <w:r>
              <w:rPr>
                <w:sz w:val="21"/>
                <w:szCs w:val="21"/>
              </w:rPr>
              <w:t>páncreas</w:t>
            </w:r>
            <w:r w:rsidR="001E3712">
              <w:rPr>
                <w:sz w:val="21"/>
                <w:szCs w:val="21"/>
              </w:rPr>
              <w:t xml:space="preserve">, bloqueando la </w:t>
            </w:r>
            <w:r>
              <w:rPr>
                <w:sz w:val="21"/>
                <w:szCs w:val="21"/>
              </w:rPr>
              <w:t>glucogenólisis</w:t>
            </w:r>
            <w:r w:rsidR="001E3712">
              <w:rPr>
                <w:sz w:val="21"/>
                <w:szCs w:val="21"/>
              </w:rPr>
              <w:t xml:space="preserve"> y </w:t>
            </w:r>
            <w:r>
              <w:rPr>
                <w:sz w:val="21"/>
                <w:szCs w:val="21"/>
              </w:rPr>
              <w:t>gluconeogénesis</w:t>
            </w:r>
            <w:r w:rsidR="001E3712">
              <w:rPr>
                <w:sz w:val="21"/>
                <w:szCs w:val="21"/>
              </w:rPr>
              <w:t xml:space="preserve"> </w:t>
            </w:r>
            <w:r>
              <w:rPr>
                <w:sz w:val="21"/>
                <w:szCs w:val="21"/>
              </w:rPr>
              <w:t>hepática</w:t>
            </w:r>
            <w:r w:rsidR="001E3712">
              <w:rPr>
                <w:sz w:val="21"/>
                <w:szCs w:val="21"/>
              </w:rPr>
              <w:t xml:space="preserve">. El </w:t>
            </w:r>
            <w:r>
              <w:rPr>
                <w:sz w:val="21"/>
                <w:szCs w:val="21"/>
              </w:rPr>
              <w:t>hígado</w:t>
            </w:r>
            <w:r w:rsidR="001E3712">
              <w:rPr>
                <w:sz w:val="21"/>
                <w:szCs w:val="21"/>
              </w:rPr>
              <w:t xml:space="preserve"> no puede liberar sus reservas.</w:t>
            </w:r>
          </w:p>
          <w:p w14:paraId="23DD2AB0" w14:textId="0118F630" w:rsidR="00212A15" w:rsidRDefault="00DC5316">
            <w:pPr>
              <w:pStyle w:val="Prrafodelista"/>
              <w:numPr>
                <w:ilvl w:val="0"/>
                <w:numId w:val="2"/>
              </w:numPr>
              <w:spacing w:before="60" w:after="60"/>
            </w:pPr>
            <w:r>
              <w:rPr>
                <w:b/>
                <w:bCs/>
                <w:color w:val="5030A0"/>
                <w:sz w:val="21"/>
                <w:szCs w:val="21"/>
              </w:rPr>
              <w:t>Supresión</w:t>
            </w:r>
            <w:r w:rsidR="001E3712">
              <w:rPr>
                <w:b/>
                <w:bCs/>
                <w:color w:val="5030A0"/>
                <w:sz w:val="21"/>
                <w:szCs w:val="21"/>
              </w:rPr>
              <w:t xml:space="preserve"> de GH: </w:t>
            </w:r>
            <w:r w:rsidR="001E3712">
              <w:rPr>
                <w:sz w:val="21"/>
                <w:szCs w:val="21"/>
              </w:rPr>
              <w:t xml:space="preserve"> el big IGF-2 suprime la hormona de crecimiento hipofisaria por </w:t>
            </w:r>
            <w:r w:rsidR="006F0DCB">
              <w:rPr>
                <w:sz w:val="21"/>
                <w:szCs w:val="21"/>
              </w:rPr>
              <w:t>retroalimentación</w:t>
            </w:r>
            <w:r w:rsidR="001E3712">
              <w:rPr>
                <w:sz w:val="21"/>
                <w:szCs w:val="21"/>
              </w:rPr>
              <w:t xml:space="preserve"> negativa, reduciendo consecuentemente la </w:t>
            </w:r>
            <w:r w:rsidR="006F0DCB">
              <w:rPr>
                <w:sz w:val="21"/>
                <w:szCs w:val="21"/>
              </w:rPr>
              <w:t>producción</w:t>
            </w:r>
            <w:r w:rsidR="001E3712">
              <w:rPr>
                <w:sz w:val="21"/>
                <w:szCs w:val="21"/>
              </w:rPr>
              <w:t xml:space="preserve"> </w:t>
            </w:r>
            <w:r w:rsidR="006F0DCB">
              <w:rPr>
                <w:sz w:val="21"/>
                <w:szCs w:val="21"/>
              </w:rPr>
              <w:t>hepática</w:t>
            </w:r>
            <w:r w:rsidR="001E3712">
              <w:rPr>
                <w:sz w:val="21"/>
                <w:szCs w:val="21"/>
              </w:rPr>
              <w:t xml:space="preserve"> de IGF-1.</w:t>
            </w:r>
          </w:p>
          <w:p w14:paraId="76BB79AD" w14:textId="1AA1B296" w:rsidR="00212A15" w:rsidRDefault="006F0DCB">
            <w:pPr>
              <w:pStyle w:val="Prrafodelista"/>
              <w:numPr>
                <w:ilvl w:val="0"/>
                <w:numId w:val="2"/>
              </w:numPr>
              <w:spacing w:before="60" w:after="60"/>
            </w:pPr>
            <w:r>
              <w:rPr>
                <w:b/>
                <w:bCs/>
                <w:color w:val="5030A0"/>
                <w:sz w:val="21"/>
                <w:szCs w:val="21"/>
              </w:rPr>
              <w:t>Supresión</w:t>
            </w:r>
            <w:r w:rsidR="001E3712">
              <w:rPr>
                <w:b/>
                <w:bCs/>
                <w:color w:val="5030A0"/>
                <w:sz w:val="21"/>
                <w:szCs w:val="21"/>
              </w:rPr>
              <w:t xml:space="preserve"> de insulina </w:t>
            </w:r>
            <w:r>
              <w:rPr>
                <w:b/>
                <w:bCs/>
                <w:color w:val="5030A0"/>
                <w:sz w:val="21"/>
                <w:szCs w:val="21"/>
              </w:rPr>
              <w:t>endógena</w:t>
            </w:r>
            <w:r w:rsidR="001E3712">
              <w:rPr>
                <w:b/>
                <w:bCs/>
                <w:color w:val="5030A0"/>
                <w:sz w:val="21"/>
                <w:szCs w:val="21"/>
              </w:rPr>
              <w:t xml:space="preserve">: </w:t>
            </w:r>
            <w:r w:rsidR="001E3712">
              <w:rPr>
                <w:sz w:val="21"/>
                <w:szCs w:val="21"/>
              </w:rPr>
              <w:t xml:space="preserve"> la hipoglicemia resultante suprime la </w:t>
            </w:r>
            <w:r>
              <w:rPr>
                <w:sz w:val="21"/>
                <w:szCs w:val="21"/>
              </w:rPr>
              <w:t>secreción</w:t>
            </w:r>
            <w:r w:rsidR="001E3712">
              <w:rPr>
                <w:sz w:val="21"/>
                <w:szCs w:val="21"/>
              </w:rPr>
              <w:t xml:space="preserve"> de insulina </w:t>
            </w:r>
            <w:r>
              <w:rPr>
                <w:sz w:val="21"/>
                <w:szCs w:val="21"/>
              </w:rPr>
              <w:t>pancreática</w:t>
            </w:r>
            <w:r w:rsidR="001E3712">
              <w:rPr>
                <w:sz w:val="21"/>
                <w:szCs w:val="21"/>
              </w:rPr>
              <w:t>. Por eso la insulina y el C-</w:t>
            </w:r>
            <w:r>
              <w:rPr>
                <w:sz w:val="21"/>
                <w:szCs w:val="21"/>
              </w:rPr>
              <w:t>péptido</w:t>
            </w:r>
            <w:r w:rsidR="001E3712">
              <w:rPr>
                <w:sz w:val="21"/>
                <w:szCs w:val="21"/>
              </w:rPr>
              <w:t xml:space="preserve"> </w:t>
            </w:r>
            <w:r>
              <w:rPr>
                <w:sz w:val="21"/>
                <w:szCs w:val="21"/>
              </w:rPr>
              <w:t>están</w:t>
            </w:r>
            <w:r w:rsidR="001E3712">
              <w:rPr>
                <w:sz w:val="21"/>
                <w:szCs w:val="21"/>
              </w:rPr>
              <w:t xml:space="preserve"> BAJOS — el </w:t>
            </w:r>
            <w:r>
              <w:rPr>
                <w:sz w:val="21"/>
                <w:szCs w:val="21"/>
              </w:rPr>
              <w:t>páncreas</w:t>
            </w:r>
            <w:r w:rsidR="001E3712">
              <w:rPr>
                <w:sz w:val="21"/>
                <w:szCs w:val="21"/>
              </w:rPr>
              <w:t xml:space="preserve"> es inocente.</w:t>
            </w:r>
          </w:p>
          <w:p w14:paraId="1137D697" w14:textId="00E564DE" w:rsidR="00212A15" w:rsidRDefault="001E3712">
            <w:pPr>
              <w:pStyle w:val="Prrafodelista"/>
              <w:numPr>
                <w:ilvl w:val="0"/>
                <w:numId w:val="2"/>
              </w:numPr>
              <w:spacing w:before="60" w:after="60"/>
            </w:pPr>
            <w:r>
              <w:rPr>
                <w:b/>
                <w:bCs/>
                <w:color w:val="5030A0"/>
                <w:sz w:val="21"/>
                <w:szCs w:val="21"/>
              </w:rPr>
              <w:t xml:space="preserve">Resultado final: </w:t>
            </w:r>
            <w:r>
              <w:rPr>
                <w:sz w:val="21"/>
                <w:szCs w:val="21"/>
              </w:rPr>
              <w:t xml:space="preserve"> </w:t>
            </w:r>
            <w:r w:rsidR="006F0DCB">
              <w:rPr>
                <w:sz w:val="21"/>
                <w:szCs w:val="21"/>
              </w:rPr>
              <w:t>caída</w:t>
            </w:r>
            <w:r>
              <w:rPr>
                <w:sz w:val="21"/>
                <w:szCs w:val="21"/>
              </w:rPr>
              <w:t xml:space="preserve"> progresiva e imparable de la </w:t>
            </w:r>
            <w:r>
              <w:rPr>
                <w:sz w:val="21"/>
                <w:szCs w:val="21"/>
              </w:rPr>
              <w:t xml:space="preserve">glucemia que </w:t>
            </w:r>
            <w:r w:rsidR="006F0DCB">
              <w:rPr>
                <w:sz w:val="21"/>
                <w:szCs w:val="21"/>
              </w:rPr>
              <w:t>ningún</w:t>
            </w:r>
            <w:r>
              <w:rPr>
                <w:sz w:val="21"/>
                <w:szCs w:val="21"/>
              </w:rPr>
              <w:t xml:space="preserve"> mecanismo compensador puede frenar mientras el tumor siga activo.</w:t>
            </w:r>
          </w:p>
        </w:tc>
      </w:tr>
    </w:tbl>
    <w:p w14:paraId="1D3C188E" w14:textId="77777777" w:rsidR="00212A15" w:rsidRDefault="00212A15">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12A15" w14:paraId="3B7EFF43" w14:textId="77777777">
        <w:tblPrEx>
          <w:tblCellMar>
            <w:top w:w="0" w:type="dxa"/>
            <w:bottom w:w="0" w:type="dxa"/>
          </w:tblCellMar>
        </w:tblPrEx>
        <w:tc>
          <w:tcPr>
            <w:tcW w:w="9360" w:type="dxa"/>
            <w:tcBorders>
              <w:top w:val="single" w:sz="10" w:space="0" w:color="2A6040"/>
              <w:left w:val="single" w:sz="20" w:space="0" w:color="2A6040"/>
              <w:bottom w:val="none" w:sz="0" w:space="0" w:color="FFFFFF"/>
              <w:right w:val="none" w:sz="0" w:space="0" w:color="FFFFFF"/>
            </w:tcBorders>
            <w:shd w:val="clear" w:color="auto" w:fill="F0F7F2"/>
            <w:tcMar>
              <w:top w:w="140" w:type="dxa"/>
              <w:left w:w="220" w:type="dxa"/>
              <w:bottom w:w="60" w:type="dxa"/>
              <w:right w:w="180" w:type="dxa"/>
            </w:tcMar>
          </w:tcPr>
          <w:p w14:paraId="2586B29D" w14:textId="420EB33E" w:rsidR="00212A15" w:rsidRDefault="001E3712">
            <w:r>
              <w:rPr>
                <w:rFonts w:ascii="Arial" w:eastAsia="Arial" w:hAnsi="Arial" w:cs="Arial"/>
                <w:b/>
                <w:bCs/>
                <w:color w:val="2A6040"/>
                <w:sz w:val="18"/>
                <w:szCs w:val="18"/>
              </w:rPr>
              <w:t xml:space="preserve">◆ </w:t>
            </w:r>
            <w:r w:rsidR="006F0DCB">
              <w:rPr>
                <w:rFonts w:ascii="Arial" w:eastAsia="Arial" w:hAnsi="Arial" w:cs="Arial"/>
                <w:b/>
                <w:bCs/>
                <w:color w:val="2A6040"/>
                <w:sz w:val="18"/>
                <w:szCs w:val="18"/>
              </w:rPr>
              <w:t>Porque</w:t>
            </w:r>
            <w:r>
              <w:rPr>
                <w:rFonts w:ascii="Arial" w:eastAsia="Arial" w:hAnsi="Arial" w:cs="Arial"/>
                <w:b/>
                <w:bCs/>
                <w:color w:val="2A6040"/>
                <w:sz w:val="18"/>
                <w:szCs w:val="18"/>
              </w:rPr>
              <w:t xml:space="preserve"> </w:t>
            </w:r>
            <w:r w:rsidR="006F0DCB">
              <w:rPr>
                <w:rFonts w:ascii="Arial" w:eastAsia="Arial" w:hAnsi="Arial" w:cs="Arial"/>
                <w:b/>
                <w:bCs/>
                <w:color w:val="2A6040"/>
                <w:sz w:val="18"/>
                <w:szCs w:val="18"/>
              </w:rPr>
              <w:t>la ratio</w:t>
            </w:r>
            <w:r>
              <w:rPr>
                <w:rFonts w:ascii="Arial" w:eastAsia="Arial" w:hAnsi="Arial" w:cs="Arial"/>
                <w:b/>
                <w:bCs/>
                <w:color w:val="2A6040"/>
                <w:sz w:val="18"/>
                <w:szCs w:val="18"/>
              </w:rPr>
              <w:t xml:space="preserve"> IGF-2/IGF-1 &gt; 10:1 es el marcador clave</w:t>
            </w:r>
          </w:p>
        </w:tc>
      </w:tr>
      <w:tr w:rsidR="00212A15" w14:paraId="2C4B03E2" w14:textId="77777777">
        <w:tblPrEx>
          <w:tblCellMar>
            <w:top w:w="0" w:type="dxa"/>
            <w:bottom w:w="0" w:type="dxa"/>
          </w:tblCellMar>
        </w:tblPrEx>
        <w:tc>
          <w:tcPr>
            <w:tcW w:w="9360" w:type="dxa"/>
            <w:tcBorders>
              <w:top w:val="none" w:sz="0" w:space="0" w:color="FFFFFF"/>
              <w:left w:val="single" w:sz="20" w:space="0" w:color="2A6040"/>
              <w:bottom w:val="single" w:sz="10" w:space="0" w:color="2A6040"/>
              <w:right w:val="none" w:sz="0" w:space="0" w:color="FFFFFF"/>
            </w:tcBorders>
            <w:shd w:val="clear" w:color="auto" w:fill="F0F7F2"/>
            <w:tcMar>
              <w:top w:w="40" w:type="dxa"/>
              <w:left w:w="220" w:type="dxa"/>
              <w:bottom w:w="160" w:type="dxa"/>
              <w:right w:w="180" w:type="dxa"/>
            </w:tcMar>
          </w:tcPr>
          <w:p w14:paraId="12137918" w14:textId="77777777" w:rsidR="00212A15" w:rsidRDefault="001E3712">
            <w:pPr>
              <w:pStyle w:val="Prrafodelista"/>
              <w:numPr>
                <w:ilvl w:val="0"/>
                <w:numId w:val="2"/>
              </w:numPr>
              <w:spacing w:before="60" w:after="60"/>
            </w:pPr>
            <w:r>
              <w:rPr>
                <w:sz w:val="21"/>
                <w:szCs w:val="21"/>
              </w:rPr>
              <w:t>El big IGF-2 no siempre eleva el IGF-2 total medido por ensayos convencionales (la forma de alto PM puede no ser detectada).</w:t>
            </w:r>
          </w:p>
          <w:p w14:paraId="101959B3" w14:textId="568CF528" w:rsidR="00212A15" w:rsidRDefault="001E3712">
            <w:pPr>
              <w:pStyle w:val="Prrafodelista"/>
              <w:numPr>
                <w:ilvl w:val="0"/>
                <w:numId w:val="2"/>
              </w:numPr>
              <w:spacing w:before="60" w:after="60"/>
            </w:pPr>
            <w:r>
              <w:rPr>
                <w:sz w:val="21"/>
                <w:szCs w:val="21"/>
              </w:rPr>
              <w:t xml:space="preserve">Sin embargo, la </w:t>
            </w:r>
            <w:r w:rsidR="006F0DCB">
              <w:rPr>
                <w:sz w:val="21"/>
                <w:szCs w:val="21"/>
              </w:rPr>
              <w:t>supresión</w:t>
            </w:r>
            <w:r>
              <w:rPr>
                <w:sz w:val="21"/>
                <w:szCs w:val="21"/>
              </w:rPr>
              <w:t xml:space="preserve"> de GH reduce </w:t>
            </w:r>
            <w:r w:rsidR="006F0DCB">
              <w:rPr>
                <w:sz w:val="21"/>
                <w:szCs w:val="21"/>
              </w:rPr>
              <w:t>sistemáticamente</w:t>
            </w:r>
            <w:r>
              <w:rPr>
                <w:sz w:val="21"/>
                <w:szCs w:val="21"/>
              </w:rPr>
              <w:t xml:space="preserve"> el IGF-1 </w:t>
            </w:r>
            <w:r w:rsidR="006F0DCB">
              <w:rPr>
                <w:sz w:val="21"/>
                <w:szCs w:val="21"/>
              </w:rPr>
              <w:t>hepático</w:t>
            </w:r>
            <w:r>
              <w:rPr>
                <w:sz w:val="21"/>
                <w:szCs w:val="21"/>
              </w:rPr>
              <w:t>.</w:t>
            </w:r>
          </w:p>
          <w:p w14:paraId="1909E962" w14:textId="0C421735" w:rsidR="00212A15" w:rsidRDefault="002577C5" w:rsidP="00252E43">
            <w:pPr>
              <w:pStyle w:val="Prrafodelista"/>
              <w:numPr>
                <w:ilvl w:val="0"/>
                <w:numId w:val="2"/>
              </w:numPr>
              <w:spacing w:before="60" w:after="60"/>
            </w:pPr>
            <w:r>
              <w:rPr>
                <w:sz w:val="21"/>
                <w:szCs w:val="21"/>
              </w:rPr>
              <w:t>La ratio</w:t>
            </w:r>
            <w:r w:rsidR="001E3712">
              <w:rPr>
                <w:sz w:val="21"/>
                <w:szCs w:val="21"/>
              </w:rPr>
              <w:t xml:space="preserve"> IGF-2/IGF-1 &gt; 10:1 captura esta </w:t>
            </w:r>
            <w:r w:rsidR="006F0DCB">
              <w:rPr>
                <w:sz w:val="21"/>
                <w:szCs w:val="21"/>
              </w:rPr>
              <w:t>relación</w:t>
            </w:r>
            <w:r w:rsidR="001E3712">
              <w:rPr>
                <w:sz w:val="21"/>
                <w:szCs w:val="21"/>
              </w:rPr>
              <w:t xml:space="preserve"> y es a</w:t>
            </w:r>
            <w:r w:rsidR="001E3712">
              <w:rPr>
                <w:sz w:val="21"/>
                <w:szCs w:val="21"/>
              </w:rPr>
              <w:t>ltamente especifico de NICTH incluso cuando el IGF-2 total parece normal.</w:t>
            </w:r>
          </w:p>
        </w:tc>
      </w:tr>
    </w:tbl>
    <w:p w14:paraId="156F6B27" w14:textId="77777777" w:rsidR="002577C5" w:rsidRDefault="002577C5" w:rsidP="00252E43">
      <w:pPr>
        <w:spacing w:before="120"/>
      </w:pPr>
    </w:p>
    <w:p w14:paraId="20370880" w14:textId="77777777" w:rsidR="002577C5" w:rsidRDefault="002577C5" w:rsidP="00252E43">
      <w:pPr>
        <w:spacing w:before="120"/>
      </w:pPr>
    </w:p>
    <w:p w14:paraId="09D6BCF5" w14:textId="77777777" w:rsidR="0098156A" w:rsidRDefault="0098156A" w:rsidP="0098156A">
      <w:pPr>
        <w:pStyle w:val="Ttulo3"/>
      </w:pPr>
      <w:r>
        <w:t>Nota del caso real</w:t>
      </w:r>
    </w:p>
    <w:p w14:paraId="0E1BB223" w14:textId="77777777" w:rsidR="0098156A" w:rsidRDefault="0098156A" w:rsidP="0098156A">
      <w:pPr>
        <w:pStyle w:val="NormalWeb"/>
      </w:pPr>
      <w:r>
        <w:t>Este relato está inspirado en un paciente que atendí durante una guardia en el Servicio de Emergencia. Se trataba de un hombre de 43 años con una masa abdominal en estudio por Cirugía Oncológica. Ingresó en la madrugada con palidez generalizada y un deterioro neurológico que inicialmente simulaba un ictus. La glucemia capilar fue de 32 mg/</w:t>
      </w:r>
      <w:proofErr w:type="spellStart"/>
      <w:r>
        <w:t>dL</w:t>
      </w:r>
      <w:proofErr w:type="spellEnd"/>
      <w:r>
        <w:t xml:space="preserve"> y la glucemia plasmática confirmó una hipoglucemia grave de 19 mg/</w:t>
      </w:r>
      <w:proofErr w:type="spellStart"/>
      <w:r>
        <w:t>dL</w:t>
      </w:r>
      <w:proofErr w:type="spellEnd"/>
      <w:r>
        <w:t>.</w:t>
      </w:r>
    </w:p>
    <w:p w14:paraId="578DA5DB" w14:textId="7B1DC061" w:rsidR="0098156A" w:rsidRDefault="00EB6B86" w:rsidP="0098156A">
      <w:pPr>
        <w:pStyle w:val="NormalWeb"/>
      </w:pPr>
      <w:r>
        <w:t xml:space="preserve">Se </w:t>
      </w:r>
      <w:proofErr w:type="gramStart"/>
      <w:r>
        <w:t>le  administro</w:t>
      </w:r>
      <w:proofErr w:type="gramEnd"/>
      <w:r>
        <w:t xml:space="preserve"> </w:t>
      </w:r>
      <w:r w:rsidR="0098156A">
        <w:t xml:space="preserve">de bolos de dextrosa, con recuperación inicial del estado neurológico. </w:t>
      </w:r>
      <w:r>
        <w:t xml:space="preserve">Cunado </w:t>
      </w:r>
      <w:proofErr w:type="spellStart"/>
      <w:r>
        <w:t>recibi</w:t>
      </w:r>
      <w:proofErr w:type="spellEnd"/>
      <w:r>
        <w:t xml:space="preserve"> la </w:t>
      </w:r>
      <w:r w:rsidR="00167262">
        <w:t>guardia en la mañana</w:t>
      </w:r>
      <w:r w:rsidR="0098156A">
        <w:t xml:space="preserve">, mientras realizábamos la entrega de guardia, el paciente volvió a deteriorarse. Se retiró las vías periféricas y desarrolló una intensa agitación psicomotriz, con marcada agresividad hacia el </w:t>
      </w:r>
      <w:proofErr w:type="gramStart"/>
      <w:r w:rsidR="0098156A">
        <w:t>personal</w:t>
      </w:r>
      <w:r w:rsidR="00167262">
        <w:t xml:space="preserve">, </w:t>
      </w:r>
      <w:r w:rsidR="0098156A">
        <w:t xml:space="preserve"> sus</w:t>
      </w:r>
      <w:proofErr w:type="gramEnd"/>
      <w:r w:rsidR="0098156A">
        <w:t xml:space="preserve"> familiares</w:t>
      </w:r>
      <w:r w:rsidR="00167262">
        <w:t xml:space="preserve"> y sobre todo a </w:t>
      </w:r>
      <w:proofErr w:type="spellStart"/>
      <w:r w:rsidR="00167262">
        <w:t>mi</w:t>
      </w:r>
      <w:proofErr w:type="spellEnd"/>
      <w:r w:rsidR="0098156A">
        <w:t>. En ese momento reinicié una infusión continua de dextrosa, consideré la colocación de un acceso venoso central y sospeché que nos encontrábamos frente a una causa poco habitual de hipoglucemia. Solicité niveles de insulina e IGF; sin embargo, estos estudios no pudieron realizarse de forma inmediata por las limitaciones propias del servicio de emergencia.</w:t>
      </w:r>
    </w:p>
    <w:p w14:paraId="7020A4C9" w14:textId="00F25BDD" w:rsidR="0098156A" w:rsidRDefault="0098156A" w:rsidP="0098156A">
      <w:pPr>
        <w:pStyle w:val="NormalWeb"/>
      </w:pPr>
      <w:r>
        <w:t xml:space="preserve">Pedí la valoración por Medicina Interna, que redirigió la interconsulta a Endocrinología. Finalmente, </w:t>
      </w:r>
      <w:r w:rsidR="0006365B">
        <w:t xml:space="preserve">quienes </w:t>
      </w:r>
      <w:r>
        <w:t>confirm</w:t>
      </w:r>
      <w:r w:rsidR="0006365B">
        <w:t xml:space="preserve">aron </w:t>
      </w:r>
      <w:r>
        <w:t xml:space="preserve">el diagnóstico de síndrome de </w:t>
      </w:r>
      <w:proofErr w:type="spellStart"/>
      <w:r>
        <w:t>Doege</w:t>
      </w:r>
      <w:proofErr w:type="spellEnd"/>
      <w:r>
        <w:t xml:space="preserve">-Potter secundario a un tumor fibroso solitario. Tras la discusión en el comité multidisciplinario de tumores, se concluyó que el paciente no era candidato a resección quirúrgica, por lo que se inició tratamiento con </w:t>
      </w:r>
      <w:proofErr w:type="spellStart"/>
      <w:r>
        <w:t>octreótido</w:t>
      </w:r>
      <w:proofErr w:type="spellEnd"/>
      <w:r>
        <w:t xml:space="preserve"> y se planificó su seguimiento ambulatorio.</w:t>
      </w:r>
    </w:p>
    <w:p w14:paraId="2F5EB83E" w14:textId="77777777" w:rsidR="0098156A" w:rsidRDefault="0098156A" w:rsidP="0098156A">
      <w:pPr>
        <w:pStyle w:val="NormalWeb"/>
      </w:pPr>
      <w:r>
        <w:t>Lo que más recuerdo de aquella madrugada no fue el diagnóstico, sino el momento en que el paciente intentó golpearme. Conseguí hablar con él y convencerlo de que volviera a acostarse en la camilla, a pesar de que ya no tenía accesos venosos y se encontraba completamente desnudo. La escena hizo pensar inicialmente al personal de seguridad y de enfermería en una intoxicación o un trastorno psiquiátrico. Fue necesario utilizar contención física de manera transitoria hasta lograr restablecer un acceso vascular y administrar nuevamente la dextrosa. Minutos después, cuando la glucemia se normalizó, la agresividad desapareció por completo.</w:t>
      </w:r>
    </w:p>
    <w:sectPr w:rsidR="0098156A">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55508" w14:textId="77777777" w:rsidR="001E3712" w:rsidRDefault="001E3712">
      <w:r>
        <w:separator/>
      </w:r>
    </w:p>
  </w:endnote>
  <w:endnote w:type="continuationSeparator" w:id="0">
    <w:p w14:paraId="2833B8CA" w14:textId="77777777" w:rsidR="001E3712" w:rsidRDefault="001E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CB5F" w14:textId="0726720E" w:rsidR="00212A15" w:rsidRDefault="00212A15" w:rsidP="00D966CC">
    <w:pPr>
      <w:pBdr>
        <w:top w:val="single" w:sz="4" w:space="1" w:color="CCCCCC"/>
      </w:pBdr>
      <w:spacing w:before="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6D516" w14:textId="77777777" w:rsidR="001E3712" w:rsidRDefault="001E3712">
      <w:r>
        <w:separator/>
      </w:r>
    </w:p>
  </w:footnote>
  <w:footnote w:type="continuationSeparator" w:id="0">
    <w:p w14:paraId="1303AA77" w14:textId="77777777" w:rsidR="001E3712" w:rsidRDefault="001E3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D14C7"/>
    <w:multiLevelType w:val="hybridMultilevel"/>
    <w:tmpl w:val="8362C75E"/>
    <w:lvl w:ilvl="0" w:tplc="F8800998">
      <w:start w:val="1"/>
      <w:numFmt w:val="bullet"/>
      <w:lvlText w:val="●"/>
      <w:lvlJc w:val="left"/>
      <w:pPr>
        <w:ind w:left="720" w:hanging="360"/>
      </w:pPr>
    </w:lvl>
    <w:lvl w:ilvl="1" w:tplc="72604F46">
      <w:start w:val="1"/>
      <w:numFmt w:val="bullet"/>
      <w:lvlText w:val="○"/>
      <w:lvlJc w:val="left"/>
      <w:pPr>
        <w:ind w:left="1440" w:hanging="360"/>
      </w:pPr>
    </w:lvl>
    <w:lvl w:ilvl="2" w:tplc="CA34A9FA">
      <w:start w:val="1"/>
      <w:numFmt w:val="bullet"/>
      <w:lvlText w:val="■"/>
      <w:lvlJc w:val="left"/>
      <w:pPr>
        <w:ind w:left="2160" w:hanging="360"/>
      </w:pPr>
    </w:lvl>
    <w:lvl w:ilvl="3" w:tplc="865AAB9C">
      <w:start w:val="1"/>
      <w:numFmt w:val="bullet"/>
      <w:lvlText w:val="●"/>
      <w:lvlJc w:val="left"/>
      <w:pPr>
        <w:ind w:left="2880" w:hanging="360"/>
      </w:pPr>
    </w:lvl>
    <w:lvl w:ilvl="4" w:tplc="FC7A5860">
      <w:start w:val="1"/>
      <w:numFmt w:val="bullet"/>
      <w:lvlText w:val="○"/>
      <w:lvlJc w:val="left"/>
      <w:pPr>
        <w:ind w:left="3600" w:hanging="360"/>
      </w:pPr>
    </w:lvl>
    <w:lvl w:ilvl="5" w:tplc="D24E7FFC">
      <w:start w:val="1"/>
      <w:numFmt w:val="bullet"/>
      <w:lvlText w:val="■"/>
      <w:lvlJc w:val="left"/>
      <w:pPr>
        <w:ind w:left="4320" w:hanging="360"/>
      </w:pPr>
    </w:lvl>
    <w:lvl w:ilvl="6" w:tplc="6D3C33C0">
      <w:start w:val="1"/>
      <w:numFmt w:val="bullet"/>
      <w:lvlText w:val="●"/>
      <w:lvlJc w:val="left"/>
      <w:pPr>
        <w:ind w:left="5040" w:hanging="360"/>
      </w:pPr>
    </w:lvl>
    <w:lvl w:ilvl="7" w:tplc="A21A6CF4">
      <w:start w:val="1"/>
      <w:numFmt w:val="bullet"/>
      <w:lvlText w:val="●"/>
      <w:lvlJc w:val="left"/>
      <w:pPr>
        <w:ind w:left="5760" w:hanging="360"/>
      </w:pPr>
    </w:lvl>
    <w:lvl w:ilvl="8" w:tplc="24EA9CD4">
      <w:start w:val="1"/>
      <w:numFmt w:val="bullet"/>
      <w:lvlText w:val="●"/>
      <w:lvlJc w:val="left"/>
      <w:pPr>
        <w:ind w:left="6480" w:hanging="360"/>
      </w:pPr>
    </w:lvl>
  </w:abstractNum>
  <w:abstractNum w:abstractNumId="1" w15:restartNumberingAfterBreak="0">
    <w:nsid w:val="755814B7"/>
    <w:multiLevelType w:val="hybridMultilevel"/>
    <w:tmpl w:val="A712E870"/>
    <w:lvl w:ilvl="0" w:tplc="C4AA2CF8">
      <w:start w:val="1"/>
      <w:numFmt w:val="bullet"/>
      <w:lvlText w:val="◆"/>
      <w:lvlJc w:val="left"/>
      <w:pPr>
        <w:ind w:left="600" w:hanging="360"/>
      </w:pPr>
      <w:rPr>
        <w:rFonts w:ascii="Arial" w:eastAsia="Arial" w:hAnsi="Arial" w:cs="Arial"/>
        <w:color w:val="7A1515"/>
        <w:sz w:val="18"/>
        <w:szCs w:val="18"/>
      </w:rPr>
    </w:lvl>
    <w:lvl w:ilvl="1" w:tplc="A7863378">
      <w:numFmt w:val="decimal"/>
      <w:lvlText w:val=""/>
      <w:lvlJc w:val="left"/>
    </w:lvl>
    <w:lvl w:ilvl="2" w:tplc="E32247CC">
      <w:numFmt w:val="decimal"/>
      <w:lvlText w:val=""/>
      <w:lvlJc w:val="left"/>
    </w:lvl>
    <w:lvl w:ilvl="3" w:tplc="EF32EA12">
      <w:numFmt w:val="decimal"/>
      <w:lvlText w:val=""/>
      <w:lvlJc w:val="left"/>
    </w:lvl>
    <w:lvl w:ilvl="4" w:tplc="4C2A7424">
      <w:numFmt w:val="decimal"/>
      <w:lvlText w:val=""/>
      <w:lvlJc w:val="left"/>
    </w:lvl>
    <w:lvl w:ilvl="5" w:tplc="EA3EE570">
      <w:numFmt w:val="decimal"/>
      <w:lvlText w:val=""/>
      <w:lvlJc w:val="left"/>
    </w:lvl>
    <w:lvl w:ilvl="6" w:tplc="95BA6AEE">
      <w:numFmt w:val="decimal"/>
      <w:lvlText w:val=""/>
      <w:lvlJc w:val="left"/>
    </w:lvl>
    <w:lvl w:ilvl="7" w:tplc="A7A63E24">
      <w:numFmt w:val="decimal"/>
      <w:lvlText w:val=""/>
      <w:lvlJc w:val="left"/>
    </w:lvl>
    <w:lvl w:ilvl="8" w:tplc="7DA46F68">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A15"/>
    <w:rsid w:val="000476AE"/>
    <w:rsid w:val="0006365B"/>
    <w:rsid w:val="00065264"/>
    <w:rsid w:val="000823E4"/>
    <w:rsid w:val="000E5576"/>
    <w:rsid w:val="00126791"/>
    <w:rsid w:val="00167262"/>
    <w:rsid w:val="00185DF7"/>
    <w:rsid w:val="001E3712"/>
    <w:rsid w:val="00212A15"/>
    <w:rsid w:val="00227257"/>
    <w:rsid w:val="00252E43"/>
    <w:rsid w:val="002577C5"/>
    <w:rsid w:val="00260202"/>
    <w:rsid w:val="002724D2"/>
    <w:rsid w:val="002A7692"/>
    <w:rsid w:val="002D3392"/>
    <w:rsid w:val="002E0BD7"/>
    <w:rsid w:val="004B5DD6"/>
    <w:rsid w:val="00536EDC"/>
    <w:rsid w:val="0056257A"/>
    <w:rsid w:val="006362CF"/>
    <w:rsid w:val="006F0DCB"/>
    <w:rsid w:val="0073072C"/>
    <w:rsid w:val="00733271"/>
    <w:rsid w:val="007871C6"/>
    <w:rsid w:val="00795C99"/>
    <w:rsid w:val="007F2784"/>
    <w:rsid w:val="007F7CE1"/>
    <w:rsid w:val="00827E95"/>
    <w:rsid w:val="00841C68"/>
    <w:rsid w:val="008E3EA2"/>
    <w:rsid w:val="008F557F"/>
    <w:rsid w:val="00917438"/>
    <w:rsid w:val="0098156A"/>
    <w:rsid w:val="00A0155E"/>
    <w:rsid w:val="00A749E2"/>
    <w:rsid w:val="00B938E3"/>
    <w:rsid w:val="00BC0EC6"/>
    <w:rsid w:val="00CA7810"/>
    <w:rsid w:val="00D966CC"/>
    <w:rsid w:val="00DC5316"/>
    <w:rsid w:val="00DE059C"/>
    <w:rsid w:val="00E05CC6"/>
    <w:rsid w:val="00E470AB"/>
    <w:rsid w:val="00EB6B86"/>
    <w:rsid w:val="00EF05A4"/>
    <w:rsid w:val="00EF5436"/>
    <w:rsid w:val="00F8241B"/>
    <w:rsid w:val="00FE03E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EDFD"/>
  <w15:docId w15:val="{04E56CB2-FA5C-442B-9DEB-1D0BAC00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color w:val="1A1208"/>
        <w:sz w:val="22"/>
        <w:szCs w:val="22"/>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after="200"/>
      <w:jc w:val="center"/>
      <w:outlineLvl w:val="0"/>
    </w:pPr>
    <w:rPr>
      <w:b/>
      <w:bCs/>
      <w:color w:val="7A1515"/>
      <w:sz w:val="48"/>
      <w:szCs w:val="48"/>
    </w:rPr>
  </w:style>
  <w:style w:type="paragraph" w:styleId="Ttulo2">
    <w:name w:val="heading 2"/>
    <w:uiPriority w:val="9"/>
    <w:unhideWhenUsed/>
    <w:qFormat/>
    <w:pPr>
      <w:spacing w:before="360" w:after="140"/>
      <w:jc w:val="center"/>
      <w:outlineLvl w:val="1"/>
    </w:pPr>
    <w:rPr>
      <w:b/>
      <w:bCs/>
      <w:color w:val="7A1515"/>
      <w:sz w:val="24"/>
      <w:szCs w:val="24"/>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D966CC"/>
    <w:pPr>
      <w:tabs>
        <w:tab w:val="center" w:pos="4252"/>
        <w:tab w:val="right" w:pos="8504"/>
      </w:tabs>
    </w:pPr>
  </w:style>
  <w:style w:type="character" w:customStyle="1" w:styleId="EncabezadoCar">
    <w:name w:val="Encabezado Car"/>
    <w:basedOn w:val="Fuentedeprrafopredeter"/>
    <w:link w:val="Encabezado"/>
    <w:uiPriority w:val="99"/>
    <w:rsid w:val="00D966CC"/>
  </w:style>
  <w:style w:type="paragraph" w:styleId="Piedepgina">
    <w:name w:val="footer"/>
    <w:basedOn w:val="Normal"/>
    <w:link w:val="PiedepginaCar"/>
    <w:uiPriority w:val="99"/>
    <w:unhideWhenUsed/>
    <w:rsid w:val="00D966CC"/>
    <w:pPr>
      <w:tabs>
        <w:tab w:val="center" w:pos="4252"/>
        <w:tab w:val="right" w:pos="8504"/>
      </w:tabs>
    </w:pPr>
  </w:style>
  <w:style w:type="character" w:customStyle="1" w:styleId="PiedepginaCar">
    <w:name w:val="Pie de página Car"/>
    <w:basedOn w:val="Fuentedeprrafopredeter"/>
    <w:link w:val="Piedepgina"/>
    <w:uiPriority w:val="99"/>
    <w:rsid w:val="00D966CC"/>
  </w:style>
  <w:style w:type="character" w:styleId="Refdecomentario">
    <w:name w:val="annotation reference"/>
    <w:basedOn w:val="Fuentedeprrafopredeter"/>
    <w:uiPriority w:val="99"/>
    <w:semiHidden/>
    <w:unhideWhenUsed/>
    <w:rsid w:val="0073072C"/>
    <w:rPr>
      <w:sz w:val="16"/>
      <w:szCs w:val="16"/>
    </w:rPr>
  </w:style>
  <w:style w:type="paragraph" w:styleId="Textocomentario">
    <w:name w:val="annotation text"/>
    <w:basedOn w:val="Normal"/>
    <w:link w:val="TextocomentarioCar"/>
    <w:uiPriority w:val="99"/>
    <w:semiHidden/>
    <w:unhideWhenUsed/>
    <w:rsid w:val="0073072C"/>
    <w:rPr>
      <w:sz w:val="20"/>
      <w:szCs w:val="20"/>
    </w:rPr>
  </w:style>
  <w:style w:type="character" w:customStyle="1" w:styleId="TextocomentarioCar">
    <w:name w:val="Texto comentario Car"/>
    <w:basedOn w:val="Fuentedeprrafopredeter"/>
    <w:link w:val="Textocomentario"/>
    <w:uiPriority w:val="99"/>
    <w:semiHidden/>
    <w:rsid w:val="0073072C"/>
    <w:rPr>
      <w:sz w:val="20"/>
      <w:szCs w:val="20"/>
    </w:rPr>
  </w:style>
  <w:style w:type="paragraph" w:styleId="Asuntodelcomentario">
    <w:name w:val="annotation subject"/>
    <w:basedOn w:val="Textocomentario"/>
    <w:next w:val="Textocomentario"/>
    <w:link w:val="AsuntodelcomentarioCar"/>
    <w:uiPriority w:val="99"/>
    <w:semiHidden/>
    <w:unhideWhenUsed/>
    <w:rsid w:val="0073072C"/>
    <w:rPr>
      <w:b/>
      <w:bCs/>
    </w:rPr>
  </w:style>
  <w:style w:type="character" w:customStyle="1" w:styleId="AsuntodelcomentarioCar">
    <w:name w:val="Asunto del comentario Car"/>
    <w:basedOn w:val="TextocomentarioCar"/>
    <w:link w:val="Asuntodelcomentario"/>
    <w:uiPriority w:val="99"/>
    <w:semiHidden/>
    <w:rsid w:val="0073072C"/>
    <w:rPr>
      <w:b/>
      <w:bCs/>
      <w:sz w:val="20"/>
      <w:szCs w:val="20"/>
    </w:rPr>
  </w:style>
  <w:style w:type="paragraph" w:customStyle="1" w:styleId="isselectedend">
    <w:name w:val="isselectedend"/>
    <w:basedOn w:val="Normal"/>
    <w:rsid w:val="00EF05A4"/>
    <w:pPr>
      <w:spacing w:before="100" w:beforeAutospacing="1" w:after="100" w:afterAutospacing="1"/>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EF05A4"/>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557048">
      <w:bodyDiv w:val="1"/>
      <w:marLeft w:val="0"/>
      <w:marRight w:val="0"/>
      <w:marTop w:val="0"/>
      <w:marBottom w:val="0"/>
      <w:divBdr>
        <w:top w:val="none" w:sz="0" w:space="0" w:color="auto"/>
        <w:left w:val="none" w:sz="0" w:space="0" w:color="auto"/>
        <w:bottom w:val="none" w:sz="0" w:space="0" w:color="auto"/>
        <w:right w:val="none" w:sz="0" w:space="0" w:color="auto"/>
      </w:divBdr>
    </w:div>
    <w:div w:id="1867669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2049</Words>
  <Characters>11271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Felipe Salazar Salvador</cp:lastModifiedBy>
  <cp:revision>44</cp:revision>
  <dcterms:created xsi:type="dcterms:W3CDTF">2026-06-29T00:50:00Z</dcterms:created>
  <dcterms:modified xsi:type="dcterms:W3CDTF">2026-06-29T02:08:00Z</dcterms:modified>
</cp:coreProperties>
</file>